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6154" w14:textId="77777777" w:rsidR="00671C44" w:rsidRDefault="00653BF5">
      <w:pPr>
        <w:spacing w:before="240" w:after="24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MOCIÓ DE SUPORT ALS DRETS DE LES PERSONES GRANS I A LA PROMULGACIÓ DE LA LLEI DE LES PERSONES GRANS</w:t>
      </w:r>
    </w:p>
    <w:p w14:paraId="32398E7C" w14:textId="77777777" w:rsidR="00671C44" w:rsidRDefault="00653BF5">
      <w:pPr>
        <w:spacing w:before="240" w:after="24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Exposició de motius</w:t>
      </w:r>
    </w:p>
    <w:p w14:paraId="651C0303" w14:textId="77777777" w:rsidR="00671C44" w:rsidRDefault="00653BF5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Les persones grans constitueixen un pilar fonamental de la nostra societat. Amb el seu treball, esforç i dedicació han </w:t>
      </w:r>
      <w:r>
        <w:rPr>
          <w:rFonts w:ascii="Verdana" w:eastAsia="Verdana" w:hAnsi="Verdana" w:cs="Verdana"/>
        </w:rPr>
        <w:t xml:space="preserve">contribuït decisivament al progrés social, econòmic i cultural del nostre país. Malgrat això, sovint es troben en situacions de vulnerabilitat, </w:t>
      </w:r>
      <w:proofErr w:type="spellStart"/>
      <w:r>
        <w:rPr>
          <w:rFonts w:ascii="Verdana" w:eastAsia="Verdana" w:hAnsi="Verdana" w:cs="Verdana"/>
        </w:rPr>
        <w:t>invisibilització</w:t>
      </w:r>
      <w:proofErr w:type="spellEnd"/>
      <w:r>
        <w:rPr>
          <w:rFonts w:ascii="Verdana" w:eastAsia="Verdana" w:hAnsi="Verdana" w:cs="Verdana"/>
        </w:rPr>
        <w:t xml:space="preserve"> o discriminació per raó d’edat, també coneguda com a </w:t>
      </w:r>
      <w:proofErr w:type="spellStart"/>
      <w:r>
        <w:rPr>
          <w:rFonts w:ascii="Verdana" w:eastAsia="Verdana" w:hAnsi="Verdana" w:cs="Verdana"/>
        </w:rPr>
        <w:t>edatisme</w:t>
      </w:r>
      <w:proofErr w:type="spellEnd"/>
      <w:r>
        <w:rPr>
          <w:rFonts w:ascii="Verdana" w:eastAsia="Verdana" w:hAnsi="Verdana" w:cs="Verdana"/>
        </w:rPr>
        <w:t>.</w:t>
      </w:r>
    </w:p>
    <w:p w14:paraId="7EAC6D5E" w14:textId="77777777" w:rsidR="00671C44" w:rsidRDefault="00653BF5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L’envelliment de la població és un fenomen que interpel·la totes les administracions públiques, i cal una resposta ferma, transversal i basada en els drets humans. És imprescindible garantir una vida digna, activa, segura i amb participació plena per a les persones grans.</w:t>
      </w:r>
    </w:p>
    <w:p w14:paraId="37ECA2D7" w14:textId="77777777" w:rsidR="00671C44" w:rsidRDefault="00653BF5">
      <w:pPr>
        <w:spacing w:before="240" w:after="24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El </w:t>
      </w:r>
      <w:r>
        <w:rPr>
          <w:rFonts w:ascii="Verdana" w:eastAsia="Verdana" w:hAnsi="Verdana" w:cs="Verdana"/>
        </w:rPr>
        <w:t>dia</w:t>
      </w:r>
      <w:r>
        <w:rPr>
          <w:rFonts w:ascii="Verdana" w:eastAsia="Verdana" w:hAnsi="Verdana" w:cs="Verdana"/>
          <w:color w:val="000000"/>
        </w:rPr>
        <w:t xml:space="preserve"> 15 de juny es commemora el Dia Mundial per a la Presa de Consciència sobre l’Abús i el Maltractament a les Persones Grans. El 19 de desembre de 2011, les Nacions Unides van reconèixer l'abús i el maltractament envers les persones grans com un problema social mundial que afecta la salut i els drets humans de milions de persones i una qüestió que mereix l'atenció de tota la comunitat internacional.</w:t>
      </w:r>
    </w:p>
    <w:p w14:paraId="0C2FD6F8" w14:textId="77777777" w:rsidR="00671C44" w:rsidRDefault="00653BF5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 aquest motiu, celebrem i donem suport al procés d’impuls de la </w:t>
      </w:r>
      <w:r>
        <w:rPr>
          <w:rFonts w:ascii="Verdana" w:eastAsia="Verdana" w:hAnsi="Verdana" w:cs="Verdana"/>
          <w:b/>
        </w:rPr>
        <w:t>Llei de les Persones Grans</w:t>
      </w:r>
      <w:r>
        <w:rPr>
          <w:rFonts w:ascii="Verdana" w:eastAsia="Verdana" w:hAnsi="Verdana" w:cs="Verdana"/>
        </w:rPr>
        <w:t>, que ha de reconèixer de manera efectiva els seus drets, establir mecanismes de protecció específics i promoure polítiques públiques actives d’envelliment digne i participatiu.</w:t>
      </w:r>
    </w:p>
    <w:p w14:paraId="225698CD" w14:textId="77777777" w:rsidR="00671C44" w:rsidRDefault="00653BF5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Aquesta Llei ha de ser el marc normatiu que posi al centre les necessitats, voluntats i aspiracions de les persones grans, assegurant-los el dret a una vida autònoma, a la no-discriminació, a l’accés a serveis de qualitat, a la participació en la societat i a la protecció davant situacions d’abús, negligència o maltractament.</w:t>
      </w:r>
    </w:p>
    <w:p w14:paraId="6F30A67E" w14:textId="01776F45" w:rsidR="00671C44" w:rsidRDefault="00653BF5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tot això, el Ple del Consell Comarcal del Maresme, conjuntament amb el Consell Consultiu de la Gent Gran del Maresme, adopta els següents:</w:t>
      </w:r>
    </w:p>
    <w:p w14:paraId="38702E8E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  <w:b/>
        </w:rPr>
      </w:pPr>
    </w:p>
    <w:p w14:paraId="42B6BDF3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  <w:b/>
        </w:rPr>
      </w:pPr>
    </w:p>
    <w:p w14:paraId="77A1EE3D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  <w:b/>
        </w:rPr>
      </w:pPr>
    </w:p>
    <w:p w14:paraId="1A3D87A2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  <w:b/>
        </w:rPr>
      </w:pPr>
    </w:p>
    <w:p w14:paraId="458913DD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  <w:b/>
        </w:rPr>
      </w:pPr>
    </w:p>
    <w:p w14:paraId="36CBE019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  <w:b/>
        </w:rPr>
      </w:pPr>
    </w:p>
    <w:p w14:paraId="4660FE9E" w14:textId="77777777" w:rsidR="00671C44" w:rsidRDefault="00653BF5">
      <w:pPr>
        <w:spacing w:before="240" w:after="24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ACORDS</w:t>
      </w:r>
    </w:p>
    <w:p w14:paraId="1214BD95" w14:textId="77777777" w:rsidR="00671C44" w:rsidRDefault="00653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Mostrar el compromís ferm del CCM amb la defensa dels drets de les persones grans</w:t>
      </w:r>
      <w:r>
        <w:rPr>
          <w:rFonts w:ascii="Verdana" w:eastAsia="Verdana" w:hAnsi="Verdana" w:cs="Verdana"/>
          <w:color w:val="000000"/>
        </w:rPr>
        <w:t>, la seva dignitat i el seu benestar, lluitant contra qualsevol forma de discriminació per raó d’edat.</w:t>
      </w:r>
    </w:p>
    <w:p w14:paraId="40B9A9DD" w14:textId="77777777" w:rsidR="00671C44" w:rsidRDefault="00671C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</w:rPr>
      </w:pPr>
    </w:p>
    <w:p w14:paraId="2DB6479F" w14:textId="77777777" w:rsidR="00671C44" w:rsidRDefault="00653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Donar suport a l’aprovació de la Llei de les Persones Grans</w:t>
      </w:r>
      <w:r>
        <w:rPr>
          <w:rFonts w:ascii="Verdana" w:eastAsia="Verdana" w:hAnsi="Verdana" w:cs="Verdana"/>
          <w:color w:val="000000"/>
        </w:rPr>
        <w:t xml:space="preserve"> i instar el Parlament de Catalunya (o el Congrés dels Diputats, segons l’àmbit) a continuar avançant en el seu desplegament amb celeritat, amb la participació activa de les entitats socials, col·lectius de persones grans i el teixit associatiu.</w:t>
      </w:r>
    </w:p>
    <w:p w14:paraId="44E66B6A" w14:textId="77777777" w:rsidR="00671C44" w:rsidRDefault="00671C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</w:rPr>
      </w:pPr>
    </w:p>
    <w:p w14:paraId="56B39461" w14:textId="77777777" w:rsidR="00671C44" w:rsidRDefault="00653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Promoure, en l’àmbit municipal, mesures que garanteixin els drets de les persones grans</w:t>
      </w:r>
      <w:r>
        <w:rPr>
          <w:rFonts w:ascii="Verdana" w:eastAsia="Verdana" w:hAnsi="Verdana" w:cs="Verdana"/>
          <w:color w:val="000000"/>
        </w:rPr>
        <w:t xml:space="preserve">, com ara: serveis d’atenció domiciliària de qualitat, espais de participació, activitats </w:t>
      </w:r>
      <w:proofErr w:type="spellStart"/>
      <w:r>
        <w:rPr>
          <w:rFonts w:ascii="Verdana" w:eastAsia="Verdana" w:hAnsi="Verdana" w:cs="Verdana"/>
          <w:color w:val="000000"/>
        </w:rPr>
        <w:t>intergeneracionals</w:t>
      </w:r>
      <w:proofErr w:type="spellEnd"/>
      <w:r>
        <w:rPr>
          <w:rFonts w:ascii="Verdana" w:eastAsia="Verdana" w:hAnsi="Verdana" w:cs="Verdana"/>
          <w:color w:val="000000"/>
        </w:rPr>
        <w:t>, habitatge adequat i adaptat, i estratègies per combatre la solitud no volguda.</w:t>
      </w:r>
    </w:p>
    <w:p w14:paraId="42502308" w14:textId="77777777" w:rsidR="00671C44" w:rsidRDefault="00671C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</w:rPr>
      </w:pPr>
    </w:p>
    <w:p w14:paraId="175CC2ED" w14:textId="77777777" w:rsidR="00671C44" w:rsidRDefault="00653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Adherir-se a la Carta dels Drets i Deures de les Persones Grans</w:t>
      </w:r>
      <w:r>
        <w:rPr>
          <w:rFonts w:ascii="Verdana" w:eastAsia="Verdana" w:hAnsi="Verdana" w:cs="Verdana"/>
          <w:color w:val="000000"/>
        </w:rPr>
        <w:t>, i treballar per la seva difusió entre la ciutadania i els serveis municipals.</w:t>
      </w:r>
    </w:p>
    <w:p w14:paraId="5CAEA97B" w14:textId="77777777" w:rsidR="00671C44" w:rsidRDefault="00671C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</w:rPr>
      </w:pPr>
    </w:p>
    <w:p w14:paraId="33A8B40B" w14:textId="77777777" w:rsidR="00671C44" w:rsidRDefault="00653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Fer arribar aquest acord al Govern de la Generalitat de Catalunya / Govern de l'Estat, al </w:t>
      </w:r>
      <w:r>
        <w:rPr>
          <w:rFonts w:ascii="Verdana" w:eastAsia="Verdana" w:hAnsi="Verdana" w:cs="Verdana"/>
          <w:b/>
          <w:color w:val="000000"/>
        </w:rPr>
        <w:t>Parlament de Catalunya / Congrés dels Diputats, i a les entitats que treballen en defensa dels drets de les persones grans</w:t>
      </w:r>
      <w:r>
        <w:rPr>
          <w:rFonts w:ascii="Verdana" w:eastAsia="Verdana" w:hAnsi="Verdana" w:cs="Verdana"/>
          <w:color w:val="000000"/>
        </w:rPr>
        <w:t>, com ara el Consell de la Gent Gran de Catalunya, l'IMSERSO, i les entitats del Tercer Sector Social.</w:t>
      </w:r>
    </w:p>
    <w:p w14:paraId="6A0FD419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</w:rPr>
      </w:pPr>
    </w:p>
    <w:p w14:paraId="7C48B592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</w:rPr>
      </w:pPr>
    </w:p>
    <w:p w14:paraId="0C6A90DD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</w:rPr>
      </w:pPr>
    </w:p>
    <w:p w14:paraId="6F441445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</w:rPr>
      </w:pPr>
    </w:p>
    <w:p w14:paraId="21CA9ECB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</w:rPr>
      </w:pPr>
    </w:p>
    <w:p w14:paraId="753A91CF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</w:rPr>
      </w:pPr>
    </w:p>
    <w:p w14:paraId="62F897A6" w14:textId="77777777" w:rsidR="00671C44" w:rsidRDefault="00671C44">
      <w:pPr>
        <w:spacing w:before="240" w:after="240"/>
        <w:jc w:val="both"/>
        <w:rPr>
          <w:rFonts w:ascii="Verdana" w:eastAsia="Verdana" w:hAnsi="Verdana" w:cs="Verdana"/>
        </w:rPr>
      </w:pPr>
    </w:p>
    <w:p w14:paraId="75DEB968" w14:textId="77777777" w:rsidR="00671C44" w:rsidRDefault="00671C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 w:after="0" w:line="240" w:lineRule="auto"/>
        <w:ind w:right="-7"/>
        <w:jc w:val="center"/>
        <w:rPr>
          <w:rFonts w:ascii="Verdana" w:eastAsia="Verdana" w:hAnsi="Verdana" w:cs="Verdana"/>
          <w:b/>
          <w:color w:val="000000"/>
        </w:rPr>
      </w:pPr>
    </w:p>
    <w:p w14:paraId="7C7BBF84" w14:textId="77777777" w:rsidR="00671C44" w:rsidRDefault="00671C44">
      <w:pPr>
        <w:spacing w:after="0" w:line="276" w:lineRule="auto"/>
        <w:jc w:val="both"/>
        <w:rPr>
          <w:rFonts w:ascii="Verdana" w:eastAsia="Verdana" w:hAnsi="Verdana" w:cs="Verdana"/>
          <w:color w:val="000000"/>
        </w:rPr>
      </w:pPr>
    </w:p>
    <w:sectPr w:rsidR="00671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49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6BC0" w14:textId="77777777" w:rsidR="00404DA5" w:rsidRDefault="00404DA5">
      <w:pPr>
        <w:spacing w:after="0" w:line="240" w:lineRule="auto"/>
      </w:pPr>
      <w:r>
        <w:separator/>
      </w:r>
    </w:p>
  </w:endnote>
  <w:endnote w:type="continuationSeparator" w:id="0">
    <w:p w14:paraId="6397C890" w14:textId="77777777" w:rsidR="00404DA5" w:rsidRDefault="0040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E6190" w14:textId="77777777" w:rsidR="00671C44" w:rsidRDefault="00653B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6E1C1DB" w14:textId="77777777" w:rsidR="00671C44" w:rsidRDefault="00671C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CE1B" w14:textId="77777777" w:rsidR="00671C44" w:rsidRDefault="00653B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0C86">
      <w:rPr>
        <w:noProof/>
        <w:color w:val="000000"/>
      </w:rPr>
      <w:t>1</w:t>
    </w:r>
    <w:r>
      <w:rPr>
        <w:color w:val="000000"/>
      </w:rPr>
      <w:fldChar w:fldCharType="end"/>
    </w:r>
  </w:p>
  <w:tbl>
    <w:tblPr>
      <w:tblStyle w:val="a0"/>
      <w:tblW w:w="8490" w:type="dxa"/>
      <w:tblInd w:w="0" w:type="dxa"/>
      <w:tblLayout w:type="fixed"/>
      <w:tblLook w:val="0600" w:firstRow="0" w:lastRow="0" w:firstColumn="0" w:lastColumn="0" w:noHBand="1" w:noVBand="1"/>
    </w:tblPr>
    <w:tblGrid>
      <w:gridCol w:w="2830"/>
      <w:gridCol w:w="2830"/>
      <w:gridCol w:w="2830"/>
    </w:tblGrid>
    <w:tr w:rsidR="00671C44" w14:paraId="7ED1CD8E" w14:textId="77777777">
      <w:trPr>
        <w:trHeight w:val="300"/>
      </w:trPr>
      <w:tc>
        <w:tcPr>
          <w:tcW w:w="2830" w:type="dxa"/>
        </w:tcPr>
        <w:p w14:paraId="0F50CC96" w14:textId="77777777" w:rsidR="00671C44" w:rsidRDefault="00671C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 w:right="360"/>
            <w:rPr>
              <w:color w:val="000000"/>
            </w:rPr>
          </w:pPr>
        </w:p>
      </w:tc>
      <w:tc>
        <w:tcPr>
          <w:tcW w:w="2830" w:type="dxa"/>
        </w:tcPr>
        <w:p w14:paraId="29C543D3" w14:textId="77777777" w:rsidR="00671C44" w:rsidRDefault="00671C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830" w:type="dxa"/>
        </w:tcPr>
        <w:p w14:paraId="0FC7CB60" w14:textId="77777777" w:rsidR="00671C44" w:rsidRDefault="00671C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51C7BCD1" w14:textId="77777777" w:rsidR="00671C44" w:rsidRDefault="00671C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C347" w14:textId="77777777" w:rsidR="00671C44" w:rsidRDefault="00671C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C8E57" w14:textId="77777777" w:rsidR="00404DA5" w:rsidRDefault="00404DA5">
      <w:pPr>
        <w:spacing w:after="0" w:line="240" w:lineRule="auto"/>
      </w:pPr>
      <w:r>
        <w:separator/>
      </w:r>
    </w:p>
  </w:footnote>
  <w:footnote w:type="continuationSeparator" w:id="0">
    <w:p w14:paraId="3376DE45" w14:textId="77777777" w:rsidR="00404DA5" w:rsidRDefault="0040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B2B0" w14:textId="77777777" w:rsidR="00671C44" w:rsidRDefault="00671C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2DCB7" w14:textId="77777777" w:rsidR="00671C44" w:rsidRDefault="00671C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E102" w14:textId="77777777" w:rsidR="00671C44" w:rsidRDefault="00671C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3777B"/>
    <w:multiLevelType w:val="multilevel"/>
    <w:tmpl w:val="12E08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8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44"/>
    <w:rsid w:val="00050C86"/>
    <w:rsid w:val="00404DA5"/>
    <w:rsid w:val="005249C2"/>
    <w:rsid w:val="00653BF5"/>
    <w:rsid w:val="006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9736"/>
  <w15:docId w15:val="{5378029C-4245-47D7-836F-A4FEA9BF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E505C6"/>
    <w:pPr>
      <w:widowControl w:val="0"/>
      <w:autoSpaceDE w:val="0"/>
      <w:autoSpaceDN w:val="0"/>
      <w:spacing w:before="101" w:after="0" w:line="240" w:lineRule="auto"/>
      <w:ind w:left="2147" w:right="2158"/>
      <w:jc w:val="center"/>
    </w:pPr>
    <w:rPr>
      <w:rFonts w:ascii="Verdana" w:eastAsia="Verdana" w:hAnsi="Verdana" w:cs="Verdana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E7D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E505C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5C6"/>
    <w:rPr>
      <w:rFonts w:ascii="Verdana" w:eastAsia="Verdana" w:hAnsi="Verdana" w:cs="Verdana"/>
      <w:sz w:val="23"/>
      <w:szCs w:val="23"/>
      <w:lang w:val="ca-ES"/>
    </w:rPr>
  </w:style>
  <w:style w:type="character" w:customStyle="1" w:styleId="TtuloCar">
    <w:name w:val="Título Car"/>
    <w:basedOn w:val="Fuentedeprrafopredeter"/>
    <w:link w:val="Ttulo"/>
    <w:uiPriority w:val="1"/>
    <w:rsid w:val="00E505C6"/>
    <w:rPr>
      <w:rFonts w:ascii="Verdana" w:eastAsia="Verdana" w:hAnsi="Verdana" w:cs="Verdana"/>
      <w:b/>
      <w:bCs/>
      <w:sz w:val="24"/>
      <w:szCs w:val="24"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1B3A96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7420E50B"/>
  </w:style>
  <w:style w:type="paragraph" w:customStyle="1" w:styleId="paragraph">
    <w:name w:val="paragraph"/>
    <w:basedOn w:val="Normal"/>
    <w:rsid w:val="006D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6D7F5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9Zy/1huFFt0l3kuP/IScXCjvA==">CgMxLjA4AHIhMXU4TVplRTFPSndjcEFiX3NHUmwtRXZqX3UxU3VJYzZt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Casas</dc:creator>
  <cp:lastModifiedBy>Noelia Otero</cp:lastModifiedBy>
  <cp:revision>2</cp:revision>
  <dcterms:created xsi:type="dcterms:W3CDTF">2025-06-11T21:31:00Z</dcterms:created>
  <dcterms:modified xsi:type="dcterms:W3CDTF">2025-06-11T21:31:00Z</dcterms:modified>
</cp:coreProperties>
</file>