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6D49" w14:textId="77777777" w:rsidR="00374173" w:rsidRPr="00374173" w:rsidRDefault="00374173" w:rsidP="00374173">
      <w:pPr>
        <w:spacing w:line="360" w:lineRule="auto"/>
        <w:jc w:val="both"/>
        <w:rPr>
          <w:rFonts w:ascii="Work Sans" w:hAnsi="Work Sans"/>
          <w:sz w:val="18"/>
          <w:szCs w:val="18"/>
        </w:rPr>
      </w:pPr>
    </w:p>
    <w:p w14:paraId="7E8716A9" w14:textId="77777777" w:rsidR="00556206" w:rsidRPr="00374173" w:rsidRDefault="00556206" w:rsidP="00374173">
      <w:pPr>
        <w:spacing w:line="360" w:lineRule="auto"/>
        <w:jc w:val="both"/>
        <w:rPr>
          <w:rFonts w:ascii="Work Sans" w:hAnsi="Work Sans" w:cs="Arial"/>
          <w:b/>
          <w:sz w:val="18"/>
          <w:szCs w:val="18"/>
        </w:rPr>
      </w:pPr>
      <w:r w:rsidRPr="00374173">
        <w:rPr>
          <w:rFonts w:ascii="Work Sans" w:hAnsi="Work Sans" w:cs="Arial"/>
          <w:sz w:val="18"/>
          <w:szCs w:val="18"/>
        </w:rPr>
        <w:t>Núm. Exp.</w:t>
      </w:r>
      <w:r w:rsidRPr="00374173">
        <w:rPr>
          <w:rFonts w:ascii="Work Sans" w:hAnsi="Work Sans" w:cs="Arial"/>
          <w:b/>
          <w:bCs/>
          <w:sz w:val="18"/>
          <w:szCs w:val="18"/>
        </w:rPr>
        <w:t xml:space="preserve"> </w:t>
      </w:r>
      <w:r w:rsidRPr="00374173">
        <w:rPr>
          <w:rFonts w:ascii="Work Sans" w:hAnsi="Work Sans" w:cs="Arial"/>
          <w:b/>
          <w:sz w:val="18"/>
          <w:szCs w:val="18"/>
        </w:rPr>
        <w:t>CCM-1029-0013/2025</w:t>
      </w:r>
    </w:p>
    <w:p w14:paraId="449BFE10" w14:textId="77777777" w:rsidR="00374173" w:rsidRPr="00374173" w:rsidRDefault="00374173" w:rsidP="00374173">
      <w:pPr>
        <w:spacing w:line="360" w:lineRule="auto"/>
        <w:jc w:val="both"/>
        <w:rPr>
          <w:rFonts w:ascii="Work Sans" w:hAnsi="Work Sans" w:cs="Arial"/>
          <w:b/>
          <w:sz w:val="18"/>
          <w:szCs w:val="18"/>
        </w:rPr>
      </w:pPr>
    </w:p>
    <w:p w14:paraId="3F579A57" w14:textId="77777777" w:rsidR="00374173" w:rsidRPr="00374173" w:rsidRDefault="00374173" w:rsidP="00374173">
      <w:pPr>
        <w:spacing w:line="360" w:lineRule="auto"/>
        <w:jc w:val="both"/>
        <w:rPr>
          <w:rFonts w:ascii="Work Sans" w:hAnsi="Work Sans" w:cs="Arial"/>
          <w:b/>
          <w:sz w:val="18"/>
          <w:szCs w:val="18"/>
        </w:rPr>
      </w:pPr>
    </w:p>
    <w:p w14:paraId="15B47059" w14:textId="77777777" w:rsidR="00374173" w:rsidRPr="00374173" w:rsidRDefault="00374173" w:rsidP="00374173">
      <w:pPr>
        <w:spacing w:line="360" w:lineRule="auto"/>
        <w:jc w:val="both"/>
        <w:rPr>
          <w:rFonts w:ascii="Work Sans" w:hAnsi="Work Sans" w:cs="Arial"/>
          <w:sz w:val="18"/>
          <w:szCs w:val="18"/>
        </w:rPr>
      </w:pPr>
    </w:p>
    <w:p w14:paraId="4646CA4B" w14:textId="505B52A4" w:rsidR="00374173" w:rsidRPr="00374173" w:rsidRDefault="00374173" w:rsidP="00374173">
      <w:pPr>
        <w:spacing w:line="360" w:lineRule="auto"/>
        <w:jc w:val="both"/>
        <w:rPr>
          <w:rFonts w:ascii="Work Sans" w:hAnsi="Work Sans" w:cs="Arial"/>
          <w:b/>
          <w:bCs/>
          <w:sz w:val="18"/>
          <w:szCs w:val="18"/>
        </w:rPr>
      </w:pPr>
      <w:r w:rsidRPr="00374173">
        <w:rPr>
          <w:rFonts w:ascii="Work Sans" w:hAnsi="Work Sans" w:cs="Arial"/>
          <w:b/>
          <w:bCs/>
          <w:sz w:val="18"/>
          <w:szCs w:val="18"/>
        </w:rPr>
        <w:t xml:space="preserve">MOCIÓ DELS GRUPS COMARCAL DE JUNTS PER CATALUNYA, ESQUERRA REPUBLICANA DE CATALUNYA I EN COMÚ PODEM – CONFLUÈNCIA DE SUPORT AL MODEL LINGÜÍSTIC EDUCATIU DE CATALUNYA I CONTRA LA SENTÈNCIA 2949/2025 DEL TSJC </w:t>
      </w:r>
    </w:p>
    <w:p w14:paraId="0C4E2EF0" w14:textId="77777777" w:rsidR="00374173" w:rsidRPr="00374173" w:rsidRDefault="00374173" w:rsidP="00374173">
      <w:pPr>
        <w:spacing w:line="360" w:lineRule="auto"/>
        <w:jc w:val="both"/>
        <w:rPr>
          <w:rFonts w:ascii="Work Sans" w:hAnsi="Work Sans" w:cs="Arial"/>
          <w:sz w:val="18"/>
          <w:szCs w:val="18"/>
        </w:rPr>
      </w:pPr>
    </w:p>
    <w:p w14:paraId="24CB6F6C"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El model d’escola catalana garanteix la igualtat d’oportunitats a tot l’alumnat de Catalunya. Gràcies a aquest model de conjunció lingüística a l’ensenyament, vigent des de mitjan dels anys vuitanta, a casa nostra tothom que ha estat escolaritzat és capaç d’entendre, escriure, llegir i parlar tant el català com el castellà, independentment de l’origen lingüístic familiar, essent la llengua vehicular el català. En aquest sentit, les dades de les enquestes d’usos lingüístics i dels estudis educatius confirmen que el coneixement de les llengües catalana i castellana és pràcticament total al conjunt de la població catalana. </w:t>
      </w:r>
    </w:p>
    <w:p w14:paraId="2B7E4359"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L’escola ha tingut, i encara té, un paper decisiu a l’hora d’estendre el coneixement del català i, per tant, d’afavorir que la llengua pròpia de Catalunya sigui un factor de cohesió social essencial, una afirmació que adquireix una significació encara més rellevant en una Catalunya on es parlen més de tres-centes llengües i on hi conviuen persones moltes nacionalitats diferents. </w:t>
      </w:r>
    </w:p>
    <w:p w14:paraId="25EA8141"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El model lingüístic educatiu, que inclou, entre d’altres recursos pedagògics, la immersió lingüística en els cicles inferiors, va ser elogiat, entre altres ocasions, el 2011, pel Grup d’Alt Nivell sobre Multilingüisme, creat per la Comissió Europea, perquè garanteix el coneixement i la continuïtat històrica de la llengua pròpia sense deixar de banda el coneixement de la llengua de l’Estat, en aquest cas el castellà, i facilita l’aprenentatge d’una o dues llengües estrangeres en les generacions més joves. </w:t>
      </w:r>
    </w:p>
    <w:p w14:paraId="306D5EE0"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Malgrat l’indubtable valor didàctic del model i els reconeixements internacionals, des d’una determinada interpretació de la sentència del Tribunal Constitucional 31/2010, del 28 de juny, sobre l’Estatut, alguns òrgans de la jurisdicció ordinària han imposat un cànon igualitari entre llengües oblidant que el català, a més de ser la llengua pròpia de Catalunya, és, segons la mateixa doctrina constitucional, el centre de gravetat de l’ensenyament ja que garanteix al màxim la cohesió social; i a més que continuen essent necessàries mesures de normalització lingüística després de dècades de prohibicions i de postergació. </w:t>
      </w:r>
    </w:p>
    <w:p w14:paraId="6EDD7D0E"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Així, contra l’intent per part del TSJC d’imposar un 25% de l’ensenyament en castellà, el Parlament va respondre amb un nou marc legal que va concitar un alt consens, constituït per la Llei 8/2022, del 9 de juny, sobre l'ús i l'aprenentatge de les llengües oficials en l'ensenyament no universitari, que estableix que el català, com a llengua pròpia de Catalunya, és la llengua normalment emprada com a llengua vehicular i d'aprenentatge del sistema educatiu, i la d'ús normal en l'acollida de l'alumnat nouvingut, i que el castellà és emprat en els termes que fixin els projectes lingüístics de cada centre. De la seva banda, el Decret Llei 6/2022, de 30 de maig, fixa els criteris aplicables a l'elaboració, l'aprovació, la validació i la revisió dels projectes lingüístics dels centres educatius. </w:t>
      </w:r>
    </w:p>
    <w:p w14:paraId="42137F71"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A l’espera del que pugui determinar el Tribunal Constitucional sobre aquest marc lingüístic, una recent sentència de la Sala del Contenciós Administratiu del Tribunal Superior de Justícia de Catalunya (2949/2025) ha anul·lat alguns preceptes del Decret de la Generalitat 91/2024, de 14 </w:t>
      </w:r>
      <w:r w:rsidRPr="00374173">
        <w:rPr>
          <w:rFonts w:ascii="Work Sans" w:hAnsi="Work Sans" w:cs="Arial"/>
          <w:sz w:val="18"/>
          <w:szCs w:val="18"/>
        </w:rPr>
        <w:lastRenderedPageBreak/>
        <w:t xml:space="preserve">de maig, del règim lingüístic del sistema educatiu no universitari, que desplegaven aquest marc legal i que fixaven el català i l’aranès com a llengües principals de docència, d’ús administratiu, de comunicació amb les famílies, dels materials i de les proves escolars, així com els apartats que establien el català com a llengua preferent per impartir idiomes estrangers i com a llengua d’acollida única de l’alumnat acabat d’arribar. 2 </w:t>
      </w:r>
    </w:p>
    <w:p w14:paraId="010CE78C" w14:textId="77777777" w:rsidR="00374173" w:rsidRPr="00374173" w:rsidRDefault="00374173" w:rsidP="00374173">
      <w:pPr>
        <w:spacing w:line="360" w:lineRule="auto"/>
        <w:jc w:val="both"/>
        <w:rPr>
          <w:rFonts w:ascii="Work Sans" w:hAnsi="Work Sans" w:cs="Arial"/>
          <w:sz w:val="18"/>
          <w:szCs w:val="18"/>
        </w:rPr>
      </w:pPr>
    </w:p>
    <w:p w14:paraId="671BA300"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Es tracta, doncs, d’un nou intent de politització de la llengua que suposa un atac al model lingüístic de l’escola catalana, ignora la diversitat de la nostra societat i posa en risc l’escola inclusiva i integradora. </w:t>
      </w:r>
    </w:p>
    <w:p w14:paraId="2A49193C"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Per tots els motius exposats anteriorment, proposem al Ple del Consell Comarcal del Maresme l’adopció dels següents acords: </w:t>
      </w:r>
    </w:p>
    <w:p w14:paraId="5159D6C2"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Primer.- Expressar el seu ferm suport al model lingüístic educatiu de Catalunya, en el qual el català és llengua vehicular, atès que garanteix la cohesió social, la igualtat d’oportunitats i el coneixement de les llengües oficials. </w:t>
      </w:r>
    </w:p>
    <w:p w14:paraId="7E90A0A5"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Segon.- Exigir al Govern de la Generalitat que presenti, amb urgència, recurs de cassació contra la sentència del Tribunal Superior de Justícia de Catalunya que escapça bona part del Decret 91/2024, de 14 de maig, del règim lingüístic del sistema educatiu no universitari, el qual blindava la llengua catalana com a vehicular de l’escola a Catalunya, amb l’objectiu de defensar legalment el nostre model educatiu d’immersió i garantir el dret de tot l’alumnat a aprendre en català. </w:t>
      </w:r>
    </w:p>
    <w:p w14:paraId="0D6FE7C9"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Tercer.- Refermar el compromís del Consell Comarcal del Maresme en la defensa de la llengua catalana com a element central de cohesió, inclusió i identitat, especialment en l’àmbit educatiu. </w:t>
      </w:r>
    </w:p>
    <w:p w14:paraId="191BB7A7" w14:textId="77777777" w:rsidR="00374173" w:rsidRP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 xml:space="preserve">Quart.- Rebutjar els intents de politització o </w:t>
      </w:r>
      <w:proofErr w:type="spellStart"/>
      <w:r w:rsidRPr="00374173">
        <w:rPr>
          <w:rFonts w:ascii="Work Sans" w:hAnsi="Work Sans" w:cs="Arial"/>
          <w:sz w:val="18"/>
          <w:szCs w:val="18"/>
        </w:rPr>
        <w:t>judicialització</w:t>
      </w:r>
      <w:proofErr w:type="spellEnd"/>
      <w:r w:rsidRPr="00374173">
        <w:rPr>
          <w:rFonts w:ascii="Work Sans" w:hAnsi="Work Sans" w:cs="Arial"/>
          <w:sz w:val="18"/>
          <w:szCs w:val="18"/>
        </w:rPr>
        <w:t xml:space="preserve"> del model lingüístic educatiu, així com qualsevol ingerència que vulneri les competències en matèria educativa reconegudes a l’Estatut d’Autonomia de Catalunya i a la Llei d’Educació de Catalunya (LEC). </w:t>
      </w:r>
    </w:p>
    <w:p w14:paraId="16F9A763" w14:textId="57614CE5" w:rsidR="00374173" w:rsidRDefault="00374173" w:rsidP="00374173">
      <w:pPr>
        <w:spacing w:line="360" w:lineRule="auto"/>
        <w:jc w:val="both"/>
        <w:rPr>
          <w:rFonts w:ascii="Work Sans" w:hAnsi="Work Sans" w:cs="Arial"/>
          <w:sz w:val="18"/>
          <w:szCs w:val="18"/>
        </w:rPr>
      </w:pPr>
      <w:r w:rsidRPr="00374173">
        <w:rPr>
          <w:rFonts w:ascii="Work Sans" w:hAnsi="Work Sans" w:cs="Arial"/>
          <w:sz w:val="18"/>
          <w:szCs w:val="18"/>
        </w:rPr>
        <w:t>Cinquè.- Notificar aquests acords al Govern de la Generalitat de Catalunya, al Parlament de Catalunya, a les entitats representatives de la comunitat educativa del país i a les organitzacions que treballen per la promoció i la socialització de la llengua catalana.</w:t>
      </w:r>
    </w:p>
    <w:p w14:paraId="38854582" w14:textId="77777777" w:rsidR="00374173" w:rsidRDefault="00374173" w:rsidP="00374173">
      <w:pPr>
        <w:spacing w:line="360" w:lineRule="auto"/>
        <w:jc w:val="both"/>
        <w:rPr>
          <w:rFonts w:ascii="Work Sans" w:hAnsi="Work Sans" w:cs="Arial"/>
          <w:sz w:val="18"/>
          <w:szCs w:val="18"/>
        </w:rPr>
      </w:pPr>
    </w:p>
    <w:p w14:paraId="0017C1D6" w14:textId="77777777" w:rsidR="00374173" w:rsidRDefault="00374173" w:rsidP="00374173">
      <w:pPr>
        <w:spacing w:line="360" w:lineRule="auto"/>
        <w:jc w:val="both"/>
        <w:rPr>
          <w:rFonts w:ascii="Work Sans" w:hAnsi="Work Sans" w:cs="Arial"/>
          <w:sz w:val="18"/>
          <w:szCs w:val="18"/>
        </w:rPr>
      </w:pPr>
    </w:p>
    <w:p w14:paraId="3C2A3F77" w14:textId="77777777" w:rsidR="00374173" w:rsidRDefault="00374173" w:rsidP="00374173">
      <w:pPr>
        <w:spacing w:line="360" w:lineRule="auto"/>
        <w:jc w:val="both"/>
        <w:rPr>
          <w:rFonts w:ascii="Work Sans" w:hAnsi="Work Sans" w:cs="Arial"/>
          <w:sz w:val="18"/>
          <w:szCs w:val="18"/>
        </w:rPr>
      </w:pPr>
    </w:p>
    <w:p w14:paraId="6F87A91C" w14:textId="77777777" w:rsidR="00374173" w:rsidRPr="00374173" w:rsidRDefault="00374173" w:rsidP="00374173">
      <w:pPr>
        <w:spacing w:line="360" w:lineRule="auto"/>
        <w:jc w:val="both"/>
        <w:rPr>
          <w:rFonts w:ascii="Work Sans" w:hAnsi="Work Sans" w:cs="Arial"/>
          <w:sz w:val="18"/>
          <w:szCs w:val="18"/>
        </w:rPr>
      </w:pPr>
    </w:p>
    <w:sectPr w:rsidR="00374173" w:rsidRPr="00374173" w:rsidSect="00374173">
      <w:footerReference w:type="default" r:id="rId6"/>
      <w:pgSz w:w="11906" w:h="16838"/>
      <w:pgMar w:top="1418"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BA1F" w14:textId="77777777" w:rsidR="004F367C" w:rsidRDefault="004F367C" w:rsidP="003543EF">
      <w:r>
        <w:separator/>
      </w:r>
    </w:p>
  </w:endnote>
  <w:endnote w:type="continuationSeparator" w:id="0">
    <w:p w14:paraId="726CF088" w14:textId="77777777" w:rsidR="004F367C" w:rsidRDefault="004F367C" w:rsidP="003543EF">
      <w:r>
        <w:continuationSeparator/>
      </w:r>
    </w:p>
  </w:endnote>
  <w:endnote w:type="continuationNotice" w:id="1">
    <w:p w14:paraId="31ACBC99" w14:textId="77777777" w:rsidR="00533B5D" w:rsidRDefault="00533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WorkSans-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1BFB" w14:textId="77777777" w:rsidR="003543EF" w:rsidRDefault="003543EF" w:rsidP="003543EF">
    <w:pPr>
      <w:pStyle w:val="Piedepgina"/>
      <w:jc w:val="right"/>
      <w:rPr>
        <w:rFonts w:ascii="Work Sans" w:hAnsi="Work Sans" w:cs="WorkSans-Regular"/>
        <w:b/>
        <w:bCs/>
        <w:color w:val="A6A6A6" w:themeColor="background1" w:themeShade="A6"/>
        <w:sz w:val="18"/>
        <w:szCs w:val="18"/>
      </w:rPr>
    </w:pPr>
    <w:r>
      <w:rPr>
        <w:rFonts w:ascii="Work Sans" w:hAnsi="Work Sans" w:cs="WorkSans-Regular"/>
        <w:color w:val="A6A6A6" w:themeColor="background1" w:themeShade="A6"/>
        <w:sz w:val="18"/>
        <w:szCs w:val="18"/>
        <w:lang w:val="ca-ES"/>
      </w:rPr>
      <w:t>Pàgina</w:t>
    </w:r>
    <w:r>
      <w:rPr>
        <w:rFonts w:ascii="Work Sans" w:hAnsi="Work Sans" w:cs="WorkSans-Regular"/>
        <w:color w:val="A6A6A6" w:themeColor="background1" w:themeShade="A6"/>
        <w:sz w:val="18"/>
        <w:szCs w:val="18"/>
      </w:rPr>
      <w:t xml:space="preserve"> </w:t>
    </w:r>
    <w:r>
      <w:rPr>
        <w:rFonts w:ascii="Work Sans" w:hAnsi="Work Sans" w:cs="WorkSans-Regular"/>
        <w:b/>
        <w:bCs/>
        <w:color w:val="A6A6A6" w:themeColor="background1" w:themeShade="A6"/>
        <w:sz w:val="18"/>
        <w:szCs w:val="18"/>
      </w:rPr>
      <w:fldChar w:fldCharType="begin"/>
    </w:r>
    <w:r>
      <w:rPr>
        <w:rFonts w:ascii="Work Sans" w:hAnsi="Work Sans" w:cs="WorkSans-Regular"/>
        <w:b/>
        <w:bCs/>
        <w:color w:val="A6A6A6" w:themeColor="background1" w:themeShade="A6"/>
        <w:sz w:val="18"/>
        <w:szCs w:val="18"/>
      </w:rPr>
      <w:instrText>PAGE  \* Arabic  \* MERGEFORMAT</w:instrText>
    </w:r>
    <w:r>
      <w:rPr>
        <w:rFonts w:ascii="Work Sans" w:hAnsi="Work Sans" w:cs="WorkSans-Regular"/>
        <w:b/>
        <w:bCs/>
        <w:color w:val="A6A6A6" w:themeColor="background1" w:themeShade="A6"/>
        <w:sz w:val="18"/>
        <w:szCs w:val="18"/>
      </w:rPr>
      <w:fldChar w:fldCharType="separate"/>
    </w:r>
    <w:r>
      <w:rPr>
        <w:rFonts w:ascii="Work Sans" w:hAnsi="Work Sans" w:cs="WorkSans-Regular"/>
        <w:b/>
        <w:bCs/>
        <w:color w:val="A6A6A6" w:themeColor="background1" w:themeShade="A6"/>
        <w:sz w:val="18"/>
        <w:szCs w:val="18"/>
      </w:rPr>
      <w:t>1</w:t>
    </w:r>
    <w:r>
      <w:rPr>
        <w:rFonts w:ascii="Work Sans" w:hAnsi="Work Sans" w:cs="WorkSans-Regular"/>
        <w:b/>
        <w:bCs/>
        <w:color w:val="A6A6A6" w:themeColor="background1" w:themeShade="A6"/>
        <w:sz w:val="18"/>
        <w:szCs w:val="18"/>
      </w:rPr>
      <w:fldChar w:fldCharType="end"/>
    </w:r>
    <w:r>
      <w:rPr>
        <w:rFonts w:ascii="Work Sans" w:hAnsi="Work Sans" w:cs="WorkSans-Regular"/>
        <w:color w:val="A6A6A6" w:themeColor="background1" w:themeShade="A6"/>
        <w:sz w:val="18"/>
        <w:szCs w:val="18"/>
      </w:rPr>
      <w:t xml:space="preserve"> de </w:t>
    </w:r>
    <w:r>
      <w:rPr>
        <w:rFonts w:ascii="Work Sans" w:hAnsi="Work Sans" w:cs="WorkSans-Regular"/>
        <w:b/>
        <w:bCs/>
        <w:color w:val="A6A6A6" w:themeColor="background1" w:themeShade="A6"/>
        <w:sz w:val="18"/>
        <w:szCs w:val="18"/>
      </w:rPr>
      <w:fldChar w:fldCharType="begin"/>
    </w:r>
    <w:r>
      <w:rPr>
        <w:rFonts w:ascii="Work Sans" w:hAnsi="Work Sans" w:cs="WorkSans-Regular"/>
        <w:b/>
        <w:bCs/>
        <w:color w:val="A6A6A6" w:themeColor="background1" w:themeShade="A6"/>
        <w:sz w:val="18"/>
        <w:szCs w:val="18"/>
      </w:rPr>
      <w:instrText>NUMPAGES  \* Arabic  \* MERGEFORMAT</w:instrText>
    </w:r>
    <w:r>
      <w:rPr>
        <w:rFonts w:ascii="Work Sans" w:hAnsi="Work Sans" w:cs="WorkSans-Regular"/>
        <w:b/>
        <w:bCs/>
        <w:color w:val="A6A6A6" w:themeColor="background1" w:themeShade="A6"/>
        <w:sz w:val="18"/>
        <w:szCs w:val="18"/>
      </w:rPr>
      <w:fldChar w:fldCharType="separate"/>
    </w:r>
    <w:r>
      <w:rPr>
        <w:rFonts w:ascii="Work Sans" w:hAnsi="Work Sans" w:cs="WorkSans-Regular"/>
        <w:b/>
        <w:bCs/>
        <w:color w:val="A6A6A6" w:themeColor="background1" w:themeShade="A6"/>
        <w:sz w:val="18"/>
        <w:szCs w:val="18"/>
      </w:rPr>
      <w:t>1</w:t>
    </w:r>
    <w:r>
      <w:rPr>
        <w:rFonts w:ascii="Work Sans" w:hAnsi="Work Sans" w:cs="WorkSans-Regular"/>
        <w:b/>
        <w:bCs/>
        <w:color w:val="A6A6A6" w:themeColor="background1" w:themeShade="A6"/>
        <w:sz w:val="18"/>
        <w:szCs w:val="18"/>
      </w:rPr>
      <w:fldChar w:fldCharType="end"/>
    </w:r>
  </w:p>
  <w:p w14:paraId="4968214F" w14:textId="77777777" w:rsidR="003543EF" w:rsidRPr="003543EF" w:rsidRDefault="003543EF" w:rsidP="003543EF">
    <w:pPr>
      <w:pStyle w:val="Piedepgina"/>
      <w:jc w:val="center"/>
      <w:rPr>
        <w:rFonts w:ascii="Work Sans" w:hAnsi="Work Sans"/>
        <w:sz w:val="14"/>
        <w:szCs w:val="14"/>
      </w:rPr>
    </w:pPr>
    <w:bookmarkStart w:id="0" w:name="_Hlk89345485"/>
    <w:r>
      <w:rPr>
        <w:rFonts w:ascii="Work Sans" w:hAnsi="Work Sans" w:cs="WorkSans-Regular"/>
        <w:color w:val="737373"/>
        <w:sz w:val="14"/>
        <w:szCs w:val="14"/>
      </w:rPr>
      <w:t xml:space="preserve">Pl. Miquel </w:t>
    </w:r>
    <w:proofErr w:type="spellStart"/>
    <w:r>
      <w:rPr>
        <w:rFonts w:ascii="Work Sans" w:hAnsi="Work Sans" w:cs="WorkSans-Regular"/>
        <w:color w:val="737373"/>
        <w:sz w:val="14"/>
        <w:szCs w:val="14"/>
      </w:rPr>
      <w:t>Biada</w:t>
    </w:r>
    <w:proofErr w:type="spellEnd"/>
    <w:r>
      <w:rPr>
        <w:rFonts w:ascii="Work Sans" w:hAnsi="Work Sans" w:cs="WorkSans-Regular"/>
        <w:color w:val="737373"/>
        <w:sz w:val="14"/>
        <w:szCs w:val="14"/>
      </w:rPr>
      <w:t xml:space="preserve">, 1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08301 Mataró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T </w:t>
    </w:r>
    <w:r>
      <w:rPr>
        <w:rFonts w:ascii="Work Sans" w:hAnsi="Work Sans" w:cs="WorkSans-Regular"/>
        <w:b/>
        <w:bCs/>
        <w:color w:val="737373"/>
        <w:sz w:val="14"/>
        <w:szCs w:val="14"/>
      </w:rPr>
      <w:t>93 741 16 16</w:t>
    </w:r>
    <w:r>
      <w:rPr>
        <w:rFonts w:ascii="Work Sans" w:hAnsi="Work Sans" w:cs="WorkSans-Regular"/>
        <w:color w:val="737373"/>
        <w:sz w:val="14"/>
        <w:szCs w:val="14"/>
      </w:rPr>
      <w:t xml:space="preserve">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F 93 757 21 12 </w:t>
    </w:r>
    <w:r>
      <w:rPr>
        <w:rFonts w:ascii="Work Sans" w:hAnsi="Work Sans" w:cs="WorkSans-Regular"/>
        <w:color w:val="007DC3"/>
        <w:sz w:val="14"/>
        <w:szCs w:val="14"/>
      </w:rPr>
      <w:t xml:space="preserve">I </w:t>
    </w:r>
    <w:r>
      <w:rPr>
        <w:rFonts w:ascii="Work Sans" w:hAnsi="Work Sans" w:cs="WorkSans-Regular"/>
        <w:color w:val="737373"/>
        <w:sz w:val="14"/>
        <w:szCs w:val="14"/>
      </w:rPr>
      <w:t xml:space="preserve">maresme@ccmaresme.cat </w:t>
    </w:r>
    <w:r>
      <w:rPr>
        <w:rFonts w:ascii="Work Sans" w:hAnsi="Work Sans" w:cs="WorkSans-Regular"/>
        <w:color w:val="007DC3"/>
        <w:sz w:val="14"/>
        <w:szCs w:val="14"/>
      </w:rPr>
      <w:t xml:space="preserve">I </w:t>
    </w:r>
    <w:r>
      <w:rPr>
        <w:rFonts w:ascii="Work Sans" w:hAnsi="Work Sans" w:cs="WorkSans-Regular"/>
        <w:b/>
        <w:bCs/>
        <w:color w:val="737373"/>
        <w:sz w:val="14"/>
        <w:szCs w:val="14"/>
      </w:rPr>
      <w:t>www.ccmaresme.cat</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CF4A" w14:textId="77777777" w:rsidR="004F367C" w:rsidRDefault="004F367C" w:rsidP="003543EF">
      <w:r>
        <w:separator/>
      </w:r>
    </w:p>
  </w:footnote>
  <w:footnote w:type="continuationSeparator" w:id="0">
    <w:p w14:paraId="6A961106" w14:textId="77777777" w:rsidR="004F367C" w:rsidRDefault="004F367C" w:rsidP="003543EF">
      <w:r>
        <w:continuationSeparator/>
      </w:r>
    </w:p>
  </w:footnote>
  <w:footnote w:type="continuationNotice" w:id="1">
    <w:p w14:paraId="3F5A55C9" w14:textId="77777777" w:rsidR="00533B5D" w:rsidRDefault="00533B5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EF"/>
    <w:rsid w:val="003543EF"/>
    <w:rsid w:val="00374173"/>
    <w:rsid w:val="003E035A"/>
    <w:rsid w:val="004359F6"/>
    <w:rsid w:val="004D7A5A"/>
    <w:rsid w:val="004F367C"/>
    <w:rsid w:val="0053021F"/>
    <w:rsid w:val="00533B5D"/>
    <w:rsid w:val="00556206"/>
    <w:rsid w:val="00800D40"/>
    <w:rsid w:val="00A61089"/>
    <w:rsid w:val="00C75C1A"/>
    <w:rsid w:val="00E72046"/>
    <w:rsid w:val="00F50A20"/>
    <w:rsid w:val="00F561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4FD305"/>
  <w15:chartTrackingRefBased/>
  <w15:docId w15:val="{1ECD3771-4B18-4891-9593-D4B6AC43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206"/>
    <w:pPr>
      <w:spacing w:after="0" w:line="240" w:lineRule="auto"/>
    </w:pPr>
    <w:rPr>
      <w:rFonts w:ascii="Arial" w:eastAsia="Times New Roman" w:hAnsi="Arial" w:cs="Times New Roman"/>
      <w:sz w:val="24"/>
      <w:szCs w:val="24"/>
      <w:lang w:val="ca-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tulo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43E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543EF"/>
  </w:style>
  <w:style w:type="paragraph" w:styleId="Piedepgina">
    <w:name w:val="footer"/>
    <w:basedOn w:val="Normal"/>
    <w:link w:val="PiedepginaCar"/>
    <w:uiPriority w:val="99"/>
    <w:unhideWhenUsed/>
    <w:rsid w:val="003543E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3543EF"/>
  </w:style>
  <w:style w:type="character" w:styleId="Hipervnculo">
    <w:name w:val="Hyperlink"/>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877</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Cindea Saranz</dc:creator>
  <cp:keywords/>
  <dc:description/>
  <cp:lastModifiedBy>Noelia Otero</cp:lastModifiedBy>
  <cp:revision>2</cp:revision>
  <dcterms:created xsi:type="dcterms:W3CDTF">2025-09-23T10:14:00Z</dcterms:created>
  <dcterms:modified xsi:type="dcterms:W3CDTF">2025-09-23T10:14:00Z</dcterms:modified>
</cp:coreProperties>
</file>