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5667" w14:textId="77777777" w:rsidR="00DC58E5" w:rsidRPr="001D30C6" w:rsidRDefault="00DC58E5" w:rsidP="00DC58E5">
      <w:pPr>
        <w:pStyle w:val="Default"/>
        <w:spacing w:line="360" w:lineRule="auto"/>
        <w:rPr>
          <w:rFonts w:ascii="Work Sans" w:hAnsi="Work Sans"/>
          <w:b/>
          <w:bCs/>
          <w:sz w:val="18"/>
          <w:szCs w:val="18"/>
        </w:rPr>
      </w:pPr>
      <w:r w:rsidRPr="001D30C6">
        <w:rPr>
          <w:rFonts w:ascii="Work Sans" w:hAnsi="Work Sans"/>
          <w:b/>
          <w:bCs/>
          <w:sz w:val="18"/>
          <w:szCs w:val="18"/>
        </w:rPr>
        <w:t xml:space="preserve">MOCIÓ PER A L’IMPULS D’UN MARC NORMATIU I FINANCER PER A LA REGULARITZACIÓ DE LES URBANITZACIONS AMB DÈFICITS URBANÍSTICS A CATALUNYA </w:t>
      </w:r>
    </w:p>
    <w:p w14:paraId="6A10AC92" w14:textId="77777777" w:rsidR="00DC58E5" w:rsidRPr="001D30C6" w:rsidRDefault="00DC58E5" w:rsidP="00DC58E5">
      <w:pPr>
        <w:pStyle w:val="Default"/>
        <w:spacing w:line="360" w:lineRule="auto"/>
        <w:rPr>
          <w:rFonts w:ascii="Work Sans" w:hAnsi="Work Sans"/>
          <w:sz w:val="18"/>
          <w:szCs w:val="18"/>
        </w:rPr>
      </w:pPr>
    </w:p>
    <w:p w14:paraId="1CB9403F" w14:textId="77777777" w:rsidR="00DC58E5" w:rsidRPr="001D30C6" w:rsidRDefault="00DC58E5" w:rsidP="00DC58E5">
      <w:pPr>
        <w:pStyle w:val="Default"/>
        <w:spacing w:line="360" w:lineRule="auto"/>
        <w:rPr>
          <w:rFonts w:ascii="Work Sans" w:hAnsi="Work Sans"/>
          <w:b/>
          <w:bCs/>
          <w:sz w:val="18"/>
          <w:szCs w:val="18"/>
        </w:rPr>
      </w:pPr>
      <w:r w:rsidRPr="001D30C6">
        <w:rPr>
          <w:rFonts w:ascii="Work Sans" w:hAnsi="Work Sans"/>
          <w:b/>
          <w:bCs/>
          <w:sz w:val="18"/>
          <w:szCs w:val="18"/>
        </w:rPr>
        <w:t xml:space="preserve">EXPOSICIÓ DE MOTIUS </w:t>
      </w:r>
    </w:p>
    <w:p w14:paraId="09E2773F" w14:textId="77777777" w:rsidR="00DC58E5" w:rsidRPr="001D30C6" w:rsidRDefault="00DC58E5" w:rsidP="00DC58E5">
      <w:pPr>
        <w:pStyle w:val="Default"/>
        <w:spacing w:line="360" w:lineRule="auto"/>
        <w:jc w:val="both"/>
        <w:rPr>
          <w:rFonts w:ascii="Work Sans" w:hAnsi="Work Sans"/>
          <w:sz w:val="18"/>
          <w:szCs w:val="18"/>
        </w:rPr>
      </w:pPr>
    </w:p>
    <w:p w14:paraId="500574DE"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Aquesta iniciativa ha estat impulsada per un grup de més de noranta alcaldies d’arreu de Catalunya, representatives de municipis de diferents dimensions i realitats territorials, amb la col·laboració i l’acompanyament de les principals entitats municipalistes del país, l’Associació Catalana de Municipis (ACM) i la Federació de Municipis de Catalunya (FMC), amb la voluntat compartida de trobar solucions estructurals al que esdevé, per dimensió i afectació, el principal problema urbanístic del país. </w:t>
      </w:r>
    </w:p>
    <w:p w14:paraId="7C613F56" w14:textId="77777777" w:rsidR="00DC58E5" w:rsidRPr="001D30C6" w:rsidRDefault="00DC58E5" w:rsidP="00DC58E5">
      <w:pPr>
        <w:pStyle w:val="Default"/>
        <w:spacing w:line="360" w:lineRule="auto"/>
        <w:jc w:val="both"/>
        <w:rPr>
          <w:rFonts w:ascii="Work Sans" w:hAnsi="Work Sans"/>
          <w:sz w:val="18"/>
          <w:szCs w:val="18"/>
        </w:rPr>
      </w:pPr>
    </w:p>
    <w:p w14:paraId="39C7CC84"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Més de 90 ajuntaments s’han unit per posar de manifest la seva preocupació per una problemàtica que perdura des de fa dècades i que afecta greument la qualitat de vida de milers de ciutadans i ciutadanes de Catalunya: </w:t>
      </w:r>
      <w:r w:rsidRPr="001D30C6">
        <w:rPr>
          <w:rFonts w:ascii="Work Sans" w:hAnsi="Work Sans"/>
          <w:b/>
          <w:bCs/>
          <w:sz w:val="18"/>
          <w:szCs w:val="18"/>
        </w:rPr>
        <w:t>l’existència d’urbanitzacions amb dèficits urbanístics i/o no recepcionades</w:t>
      </w:r>
      <w:r w:rsidRPr="001D30C6">
        <w:rPr>
          <w:rFonts w:ascii="Work Sans" w:hAnsi="Work Sans"/>
          <w:sz w:val="18"/>
          <w:szCs w:val="18"/>
        </w:rPr>
        <w:t xml:space="preserve">. Centenars de municipis catalans comparteixen aquesta realitat, que tot i ser estructural, ha estat insuficientment abordada. Es tracta probablement d’un dels reptes urbanístics més grans del país, amb una afectació estimada d’un 10% de la població. </w:t>
      </w:r>
    </w:p>
    <w:p w14:paraId="40FDAA9C" w14:textId="77777777" w:rsidR="00DC58E5" w:rsidRPr="001D30C6" w:rsidRDefault="00DC58E5" w:rsidP="00DC58E5">
      <w:pPr>
        <w:pStyle w:val="Default"/>
        <w:spacing w:line="360" w:lineRule="auto"/>
        <w:jc w:val="both"/>
        <w:rPr>
          <w:rFonts w:ascii="Work Sans" w:hAnsi="Work Sans"/>
          <w:sz w:val="18"/>
          <w:szCs w:val="18"/>
        </w:rPr>
      </w:pPr>
    </w:p>
    <w:p w14:paraId="5E870786"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La resolució estructural d’aquesta problemàtica requereix lideratge institucional, coordinació interadministrativa i instruments financers específics. </w:t>
      </w:r>
    </w:p>
    <w:p w14:paraId="7D388C3F" w14:textId="77777777" w:rsidR="00DC58E5" w:rsidRPr="001D30C6" w:rsidRDefault="00DC58E5" w:rsidP="00DC58E5">
      <w:pPr>
        <w:pStyle w:val="Default"/>
        <w:spacing w:line="360" w:lineRule="auto"/>
        <w:jc w:val="both"/>
        <w:rPr>
          <w:rFonts w:ascii="Work Sans" w:hAnsi="Work Sans"/>
          <w:sz w:val="18"/>
          <w:szCs w:val="18"/>
        </w:rPr>
      </w:pPr>
    </w:p>
    <w:p w14:paraId="7D6954A7"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Aquesta iniciativa neix des del món local, amb esperit constructiu i voluntat de cooperació institucional, amb l’objectiu d’impulsar una resposta coordinada, justa i viable a una problemàtica que afecta milers de famílies i centenars de municipis. </w:t>
      </w:r>
    </w:p>
    <w:p w14:paraId="4CE18FF7" w14:textId="77777777" w:rsidR="00DC58E5" w:rsidRPr="001D30C6" w:rsidRDefault="00DC58E5" w:rsidP="00DC58E5">
      <w:pPr>
        <w:pStyle w:val="Default"/>
        <w:spacing w:line="360" w:lineRule="auto"/>
        <w:jc w:val="both"/>
        <w:rPr>
          <w:rFonts w:ascii="Work Sans" w:hAnsi="Work Sans"/>
          <w:sz w:val="18"/>
          <w:szCs w:val="18"/>
        </w:rPr>
      </w:pPr>
    </w:p>
    <w:p w14:paraId="045CD5F8"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El municipalisme català, unit i transversal, reclama una resposta de país davant un repte que és estructural i que no pot continuar ajornant-se. </w:t>
      </w:r>
    </w:p>
    <w:p w14:paraId="78893965" w14:textId="77777777" w:rsidR="00DC58E5" w:rsidRPr="001D30C6" w:rsidRDefault="00DC58E5" w:rsidP="00DC58E5">
      <w:pPr>
        <w:pStyle w:val="Default"/>
        <w:spacing w:line="360" w:lineRule="auto"/>
        <w:rPr>
          <w:rFonts w:ascii="Work Sans" w:hAnsi="Work Sans"/>
          <w:sz w:val="18"/>
          <w:szCs w:val="18"/>
        </w:rPr>
      </w:pPr>
    </w:p>
    <w:p w14:paraId="436BE1A2" w14:textId="77777777" w:rsidR="00DC58E5" w:rsidRPr="001D30C6" w:rsidRDefault="00DC58E5" w:rsidP="00DC58E5">
      <w:pPr>
        <w:pStyle w:val="Default"/>
        <w:spacing w:line="360" w:lineRule="auto"/>
        <w:rPr>
          <w:rFonts w:ascii="Work Sans" w:hAnsi="Work Sans"/>
          <w:b/>
          <w:bCs/>
          <w:sz w:val="18"/>
          <w:szCs w:val="18"/>
        </w:rPr>
      </w:pPr>
      <w:r w:rsidRPr="001D30C6">
        <w:rPr>
          <w:rFonts w:ascii="Work Sans" w:hAnsi="Work Sans"/>
          <w:b/>
          <w:bCs/>
          <w:sz w:val="18"/>
          <w:szCs w:val="18"/>
        </w:rPr>
        <w:t xml:space="preserve">ANTECEDENTS </w:t>
      </w:r>
    </w:p>
    <w:p w14:paraId="1CBBED21" w14:textId="77777777" w:rsidR="00DC58E5" w:rsidRPr="001D30C6" w:rsidRDefault="00DC58E5" w:rsidP="00DC58E5">
      <w:pPr>
        <w:pStyle w:val="Default"/>
        <w:spacing w:line="360" w:lineRule="auto"/>
        <w:rPr>
          <w:rFonts w:ascii="Work Sans" w:hAnsi="Work Sans"/>
          <w:sz w:val="18"/>
          <w:szCs w:val="18"/>
        </w:rPr>
      </w:pPr>
    </w:p>
    <w:p w14:paraId="7084C654" w14:textId="77777777" w:rsidR="00DC58E5" w:rsidRPr="001D30C6" w:rsidRDefault="00DC58E5" w:rsidP="00DC58E5">
      <w:pPr>
        <w:pStyle w:val="Default"/>
        <w:spacing w:line="360" w:lineRule="auto"/>
        <w:rPr>
          <w:rFonts w:ascii="Work Sans" w:hAnsi="Work Sans"/>
          <w:b/>
          <w:bCs/>
          <w:sz w:val="18"/>
          <w:szCs w:val="18"/>
        </w:rPr>
      </w:pPr>
      <w:r w:rsidRPr="001D30C6">
        <w:rPr>
          <w:rFonts w:ascii="Work Sans" w:hAnsi="Work Sans"/>
          <w:b/>
          <w:bCs/>
          <w:sz w:val="18"/>
          <w:szCs w:val="18"/>
        </w:rPr>
        <w:t xml:space="preserve">Origen i característiques del problema </w:t>
      </w:r>
    </w:p>
    <w:p w14:paraId="30B97F53" w14:textId="77777777" w:rsidR="00DC58E5" w:rsidRPr="001D30C6" w:rsidRDefault="00DC58E5" w:rsidP="00DC58E5">
      <w:pPr>
        <w:pStyle w:val="Default"/>
        <w:spacing w:line="360" w:lineRule="auto"/>
        <w:rPr>
          <w:rFonts w:ascii="Work Sans" w:hAnsi="Work Sans"/>
          <w:sz w:val="18"/>
          <w:szCs w:val="18"/>
        </w:rPr>
      </w:pPr>
    </w:p>
    <w:p w14:paraId="575661E7"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La majoria d’aquestes urbanitzacions van sorgir entre les dècades dels 60 i 80, en un context de creixement urbanístic ràpid, sovint sense una planificació adequada i amb una intervenció pública limitada. Moltes es van construir sobre terrenys amb orografia complicada, parcel·lacions disperses i mancances en serveis bàsics i infraestructures mínimes. Amb el pas del temps, aquesta situació no s’ha regularitzat, convertint aquests àmbits en focus de mancances urbanístiques i socials greus. </w:t>
      </w:r>
    </w:p>
    <w:p w14:paraId="27F6B116" w14:textId="77777777" w:rsidR="00DC58E5" w:rsidRPr="001D30C6" w:rsidRDefault="00DC58E5" w:rsidP="00DC58E5">
      <w:pPr>
        <w:pStyle w:val="Default"/>
        <w:spacing w:line="360" w:lineRule="auto"/>
        <w:jc w:val="both"/>
        <w:rPr>
          <w:rFonts w:ascii="Work Sans" w:hAnsi="Work Sans"/>
          <w:sz w:val="18"/>
          <w:szCs w:val="18"/>
        </w:rPr>
      </w:pPr>
    </w:p>
    <w:p w14:paraId="3DF46E7C"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lastRenderedPageBreak/>
        <w:t xml:space="preserve">Els dèficits estructurals afecten elements essencials com el clavegueram, l’enllumenat públic, les xarxes d’aigua potable, la pavimentació, l’accessibilitat viària, l’adequació dels espais públics i la seguretat. Això repercuteix directament en la qualitat de vida i la cohesió social dels nostres veïns i veïnes. </w:t>
      </w:r>
    </w:p>
    <w:p w14:paraId="653F6E8D" w14:textId="77777777" w:rsidR="00DC58E5" w:rsidRPr="001D30C6" w:rsidRDefault="00DC58E5" w:rsidP="00DC58E5">
      <w:pPr>
        <w:pStyle w:val="Default"/>
        <w:spacing w:line="360" w:lineRule="auto"/>
        <w:jc w:val="both"/>
        <w:rPr>
          <w:rFonts w:ascii="Work Sans" w:hAnsi="Work Sans"/>
          <w:sz w:val="18"/>
          <w:szCs w:val="18"/>
        </w:rPr>
      </w:pPr>
    </w:p>
    <w:p w14:paraId="4D80F974"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La manca de condició de solar, segons la llei, obliga a suspendre i denegar gran part de les llicències urbanístiques, fet que frena l’activitat econòmica, genera greuges comparatius entre els nostres ciutadans i ciutadanes i alimenta la tensió social i el desgast institucional.</w:t>
      </w:r>
    </w:p>
    <w:p w14:paraId="67EEB5FF" w14:textId="77777777" w:rsidR="00DC58E5" w:rsidRPr="001D30C6" w:rsidRDefault="00DC58E5" w:rsidP="00DC58E5">
      <w:pPr>
        <w:pStyle w:val="Default"/>
        <w:spacing w:line="360" w:lineRule="auto"/>
        <w:jc w:val="both"/>
        <w:rPr>
          <w:rFonts w:ascii="Work Sans" w:hAnsi="Work Sans"/>
          <w:b/>
          <w:bCs/>
          <w:sz w:val="18"/>
          <w:szCs w:val="18"/>
        </w:rPr>
      </w:pPr>
      <w:r w:rsidRPr="001D30C6">
        <w:rPr>
          <w:rFonts w:ascii="Work Sans" w:hAnsi="Work Sans"/>
          <w:b/>
          <w:bCs/>
          <w:sz w:val="18"/>
          <w:szCs w:val="18"/>
        </w:rPr>
        <w:br/>
        <w:t xml:space="preserve">Bloqueig legal i financer </w:t>
      </w:r>
    </w:p>
    <w:p w14:paraId="4BC8F631" w14:textId="77777777" w:rsidR="00DC58E5" w:rsidRPr="001D30C6" w:rsidRDefault="00DC58E5" w:rsidP="00DC58E5">
      <w:pPr>
        <w:pStyle w:val="Default"/>
        <w:spacing w:line="360" w:lineRule="auto"/>
        <w:jc w:val="both"/>
        <w:rPr>
          <w:rFonts w:ascii="Work Sans" w:hAnsi="Work Sans"/>
          <w:sz w:val="18"/>
          <w:szCs w:val="18"/>
        </w:rPr>
      </w:pPr>
    </w:p>
    <w:p w14:paraId="7799879F"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Actualment, molts ajuntaments es troben atrapats en una situació de bloqueig legal i financer. Tot i que la Llei d’Urbanisme vigent estableix instruments de gestió per la transformació del sòl, la liquidació de les quotes urbanístiques derivades de les obres de regularització que han d’assumir els veïns i veïnes resulta inassolible per la majoria dels residents. En nombroses urbanitzacions, aquestes quotes poden oscil·lar entre els 30.000 i els 80.000 euros per parcel·la, fet especialment greu en zones amb població envellida, pensionistes o famílies amb ingressos baixos. Alhora, la manca de reparcel·lació i la consegüent inscripció al Registre de la Propietat, no permet sol·licitar crèdits hipotecaris a les entitats financeres. </w:t>
      </w:r>
    </w:p>
    <w:p w14:paraId="57F4C616" w14:textId="77777777" w:rsidR="00DC58E5" w:rsidRPr="001D30C6" w:rsidRDefault="00DC58E5" w:rsidP="00DC58E5">
      <w:pPr>
        <w:pStyle w:val="Default"/>
        <w:spacing w:line="360" w:lineRule="auto"/>
        <w:jc w:val="both"/>
        <w:rPr>
          <w:rFonts w:ascii="Work Sans" w:hAnsi="Work Sans"/>
          <w:sz w:val="18"/>
          <w:szCs w:val="18"/>
        </w:rPr>
      </w:pPr>
    </w:p>
    <w:p w14:paraId="64602669"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En aquest context, </w:t>
      </w:r>
      <w:r w:rsidRPr="001D30C6">
        <w:rPr>
          <w:rFonts w:ascii="Work Sans" w:hAnsi="Work Sans"/>
          <w:b/>
          <w:bCs/>
          <w:sz w:val="18"/>
          <w:szCs w:val="18"/>
        </w:rPr>
        <w:t>si els ajuntaments tal com estableix la llei decideixen executar els projectes d’urbanització i repercutir als veïns i veïnes les quotes corresponents; no només es perjudica econòmicament als residents sinó que de retruc, també es posa en risc la viabilitat financera dels mateixos ajuntaments</w:t>
      </w:r>
      <w:r w:rsidRPr="001D30C6">
        <w:rPr>
          <w:rFonts w:ascii="Work Sans" w:hAnsi="Work Sans"/>
          <w:sz w:val="18"/>
          <w:szCs w:val="18"/>
        </w:rPr>
        <w:t xml:space="preserve">, que difícilment podrien assumir el percentatge d’impagats que previsiblement es generaria. Aquesta situació suposa, per tant, </w:t>
      </w:r>
      <w:r w:rsidRPr="001D30C6">
        <w:rPr>
          <w:rFonts w:ascii="Work Sans" w:hAnsi="Work Sans"/>
          <w:b/>
          <w:bCs/>
          <w:sz w:val="18"/>
          <w:szCs w:val="18"/>
        </w:rPr>
        <w:t xml:space="preserve">un greu risc per a la tresoreria municipal </w:t>
      </w:r>
      <w:r w:rsidRPr="001D30C6">
        <w:rPr>
          <w:rFonts w:ascii="Work Sans" w:hAnsi="Work Sans"/>
          <w:sz w:val="18"/>
          <w:szCs w:val="18"/>
        </w:rPr>
        <w:t>i compromet la sostenibilitat econòmica de moltes corporacions locals.</w:t>
      </w:r>
    </w:p>
    <w:p w14:paraId="57AE83FA" w14:textId="77777777" w:rsidR="00DC58E5" w:rsidRPr="001D30C6" w:rsidRDefault="00DC58E5" w:rsidP="00DC58E5">
      <w:pPr>
        <w:pStyle w:val="Default"/>
        <w:spacing w:line="360" w:lineRule="auto"/>
        <w:jc w:val="both"/>
        <w:rPr>
          <w:rFonts w:ascii="Work Sans" w:hAnsi="Work Sans"/>
          <w:sz w:val="18"/>
          <w:szCs w:val="18"/>
        </w:rPr>
      </w:pPr>
    </w:p>
    <w:p w14:paraId="5D09F4FF"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Tanmateix, malgrat les modificacions recents, </w:t>
      </w:r>
      <w:r w:rsidRPr="001D30C6">
        <w:rPr>
          <w:rFonts w:ascii="Work Sans" w:hAnsi="Work Sans"/>
          <w:b/>
          <w:bCs/>
          <w:sz w:val="18"/>
          <w:szCs w:val="18"/>
        </w:rPr>
        <w:t xml:space="preserve">la regulació legal limita als ajuntaments destinar recursos públics </w:t>
      </w:r>
      <w:r w:rsidRPr="001D30C6">
        <w:rPr>
          <w:rFonts w:ascii="Work Sans" w:hAnsi="Work Sans"/>
          <w:sz w:val="18"/>
          <w:szCs w:val="18"/>
        </w:rPr>
        <w:t xml:space="preserve">a urbanitzacions no recepcionades, encara que aquestes tinguin dèficits evidents en serveis de competència municipal i de prestació obligatòria. </w:t>
      </w:r>
    </w:p>
    <w:p w14:paraId="6208B90B" w14:textId="77777777" w:rsidR="00DC58E5" w:rsidRPr="001D30C6" w:rsidRDefault="00DC58E5" w:rsidP="00DC58E5">
      <w:pPr>
        <w:pStyle w:val="Default"/>
        <w:spacing w:line="360" w:lineRule="auto"/>
        <w:jc w:val="both"/>
        <w:rPr>
          <w:rFonts w:ascii="Work Sans" w:hAnsi="Work Sans"/>
          <w:sz w:val="18"/>
          <w:szCs w:val="18"/>
        </w:rPr>
      </w:pPr>
    </w:p>
    <w:p w14:paraId="03AFD61B"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Aquesta realitat no és anecdòtica. Segons l’inventari d’urbanitzacions elaborat per la Generalitat l’any 2015, a Catalunya es van identificar 1.433 urbanitzacions. D’aquestes, </w:t>
      </w:r>
      <w:r w:rsidRPr="001D30C6">
        <w:rPr>
          <w:rFonts w:ascii="Work Sans" w:hAnsi="Work Sans"/>
          <w:b/>
          <w:bCs/>
          <w:sz w:val="18"/>
          <w:szCs w:val="18"/>
        </w:rPr>
        <w:t>prop de 730 presentaven dèficits urbanístics</w:t>
      </w:r>
      <w:r w:rsidRPr="001D30C6">
        <w:rPr>
          <w:rFonts w:ascii="Work Sans" w:hAnsi="Work Sans"/>
          <w:sz w:val="18"/>
          <w:szCs w:val="18"/>
        </w:rPr>
        <w:t xml:space="preserve">: 598 tenien obres d’urbanització pendents i 132 no havien respost sobre el compliment de les obligacions urbanístiques. Aquest catàleg de 2015 va permetre disposar per primera vegada d’una radiografia completa de la situació de les urbanitzacions al país. </w:t>
      </w:r>
    </w:p>
    <w:p w14:paraId="0BB58DFF" w14:textId="77777777" w:rsidR="00DC58E5" w:rsidRPr="001D30C6" w:rsidRDefault="00DC58E5" w:rsidP="00DC58E5">
      <w:pPr>
        <w:pStyle w:val="Default"/>
        <w:spacing w:line="360" w:lineRule="auto"/>
        <w:jc w:val="both"/>
        <w:rPr>
          <w:rFonts w:ascii="Work Sans" w:hAnsi="Work Sans"/>
          <w:sz w:val="18"/>
          <w:szCs w:val="18"/>
        </w:rPr>
      </w:pPr>
    </w:p>
    <w:p w14:paraId="4F152E5A"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En els darrers anys, aquesta problemàtica s’ha vist agreujada per diversos factors socials i econòmics. El canvi generacional, l’extensió del teletreball, l’aixecament de peatges i, sobretot, la greu problemàtica de l’habitatge al nostre país —amb preus desorbitats i l’accés cada cop </w:t>
      </w:r>
      <w:r w:rsidRPr="001D30C6">
        <w:rPr>
          <w:rFonts w:ascii="Work Sans" w:hAnsi="Work Sans"/>
          <w:sz w:val="18"/>
          <w:szCs w:val="18"/>
        </w:rPr>
        <w:lastRenderedPageBreak/>
        <w:t xml:space="preserve">més restringit per als joves— han fet que moltes famílies i nous residents optin per establir-se a les urbanitzacions. Allò que en el seu origen van ser segones residències, avui s’han convertit en habitatges habituals, de manera que aquestes urbanitzacions es troben ara a plena ocupació i acullen una població estable i creixent que necessita serveis i formula demandes legítimes a les administracions públiques. </w:t>
      </w:r>
    </w:p>
    <w:p w14:paraId="7AA00DCE" w14:textId="77777777" w:rsidR="00DC58E5" w:rsidRPr="001D30C6" w:rsidRDefault="00DC58E5" w:rsidP="00DC58E5">
      <w:pPr>
        <w:pStyle w:val="Default"/>
        <w:spacing w:line="360" w:lineRule="auto"/>
        <w:jc w:val="both"/>
        <w:rPr>
          <w:rFonts w:ascii="Work Sans" w:hAnsi="Work Sans"/>
          <w:sz w:val="18"/>
          <w:szCs w:val="18"/>
        </w:rPr>
      </w:pPr>
    </w:p>
    <w:p w14:paraId="693E933E"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Molts d’aquests nuclis es troben en municipis petits o mitjans, amb una capacitat administrativa i financera molt limitada, fet que agreuja encara més la incapacitat per afrontar solucions reals i sostenibles. </w:t>
      </w:r>
    </w:p>
    <w:p w14:paraId="20A391A9" w14:textId="77777777" w:rsidR="00DC58E5" w:rsidRPr="001D30C6" w:rsidRDefault="00DC58E5" w:rsidP="00DC58E5">
      <w:pPr>
        <w:pStyle w:val="Default"/>
        <w:spacing w:line="360" w:lineRule="auto"/>
        <w:jc w:val="both"/>
        <w:rPr>
          <w:rFonts w:ascii="Work Sans" w:hAnsi="Work Sans"/>
          <w:sz w:val="18"/>
          <w:szCs w:val="18"/>
        </w:rPr>
      </w:pPr>
    </w:p>
    <w:p w14:paraId="3E17B598" w14:textId="77777777" w:rsidR="00DC58E5"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En aquest context les corporacions municipals afectades, tot i el seu compromís actiu per revertir aquesta situació, </w:t>
      </w:r>
      <w:r w:rsidRPr="001D30C6">
        <w:rPr>
          <w:rFonts w:ascii="Work Sans" w:hAnsi="Work Sans"/>
          <w:b/>
          <w:bCs/>
          <w:sz w:val="18"/>
          <w:szCs w:val="18"/>
        </w:rPr>
        <w:t xml:space="preserve">es veuen abocades a una paràlisi administrativa i a una frustració institucional creixent </w:t>
      </w:r>
      <w:r w:rsidRPr="001D30C6">
        <w:rPr>
          <w:rFonts w:ascii="Work Sans" w:hAnsi="Work Sans"/>
          <w:sz w:val="18"/>
          <w:szCs w:val="18"/>
        </w:rPr>
        <w:t xml:space="preserve">derivada de la manca d’eines normatives, finançament adequat i de recursos específics per donar resposta a una problemàtica arrelada. </w:t>
      </w:r>
    </w:p>
    <w:p w14:paraId="2E9E60B6" w14:textId="77777777" w:rsidR="00DC58E5" w:rsidRDefault="00DC58E5" w:rsidP="00DC58E5">
      <w:pPr>
        <w:pStyle w:val="Default"/>
        <w:spacing w:line="360" w:lineRule="auto"/>
        <w:jc w:val="both"/>
        <w:rPr>
          <w:rFonts w:ascii="Work Sans" w:hAnsi="Work Sans"/>
          <w:sz w:val="18"/>
          <w:szCs w:val="18"/>
        </w:rPr>
      </w:pPr>
    </w:p>
    <w:p w14:paraId="0CF0ED74" w14:textId="77777777" w:rsidR="00DC58E5"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Aquesta és la situació que vivim diàriament als nostres municipis. Una realitat complexa i cronificada que necessita ser abordada amb visió global, determinació política i responsabilitat institucional. </w:t>
      </w:r>
    </w:p>
    <w:p w14:paraId="11D22B9F" w14:textId="77777777" w:rsidR="00DC58E5" w:rsidRDefault="00DC58E5" w:rsidP="00DC58E5">
      <w:pPr>
        <w:pStyle w:val="Default"/>
        <w:spacing w:line="360" w:lineRule="auto"/>
        <w:jc w:val="both"/>
        <w:rPr>
          <w:rFonts w:ascii="Work Sans" w:hAnsi="Work Sans"/>
          <w:sz w:val="18"/>
          <w:szCs w:val="18"/>
        </w:rPr>
      </w:pPr>
    </w:p>
    <w:p w14:paraId="46E03A3E" w14:textId="77777777" w:rsidR="00DC58E5"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 xml:space="preserve">Davant la gravetat i complexitat de la situació exposada, els ajuntaments sotasignats </w:t>
      </w:r>
      <w:r w:rsidRPr="001D30C6">
        <w:rPr>
          <w:rFonts w:ascii="Work Sans" w:hAnsi="Work Sans"/>
          <w:b/>
          <w:bCs/>
          <w:sz w:val="18"/>
          <w:szCs w:val="18"/>
        </w:rPr>
        <w:t>fem una crida urgent a les institucions competents, especialment a la Generalitat de Catalunya i al Parlament</w:t>
      </w:r>
      <w:r w:rsidRPr="001D30C6">
        <w:rPr>
          <w:rFonts w:ascii="Work Sans" w:hAnsi="Work Sans"/>
          <w:sz w:val="18"/>
          <w:szCs w:val="18"/>
        </w:rPr>
        <w:t xml:space="preserve">, per impulsar un canvi normatiu, financer i organitzatiu que permeti afrontar de manera estructural, justa i sostenible aquesta problemàtica. </w:t>
      </w:r>
    </w:p>
    <w:p w14:paraId="2327414E" w14:textId="77777777" w:rsidR="00DC58E5" w:rsidRPr="001D30C6" w:rsidRDefault="00DC58E5" w:rsidP="00DC58E5">
      <w:pPr>
        <w:pStyle w:val="Default"/>
        <w:spacing w:line="360" w:lineRule="auto"/>
        <w:jc w:val="both"/>
        <w:rPr>
          <w:rFonts w:ascii="Work Sans" w:hAnsi="Work Sans"/>
          <w:sz w:val="18"/>
          <w:szCs w:val="18"/>
        </w:rPr>
      </w:pPr>
      <w:r w:rsidRPr="001D30C6">
        <w:rPr>
          <w:rFonts w:ascii="Work Sans" w:hAnsi="Work Sans"/>
          <w:sz w:val="18"/>
          <w:szCs w:val="18"/>
        </w:rPr>
        <w:t>Les demandes tenen la voluntat de ser concretes i viables, i es fonamenten en la voluntat de garantir l’equitat territorial, la dignitat urbana i el dret dels veïns i veïnes a viure en entorns urbans adequats.</w:t>
      </w:r>
    </w:p>
    <w:p w14:paraId="34010C94" w14:textId="77777777" w:rsidR="00DC58E5" w:rsidRPr="001D30C6" w:rsidRDefault="00DC58E5" w:rsidP="00DC58E5">
      <w:pPr>
        <w:pStyle w:val="Default"/>
        <w:spacing w:line="360" w:lineRule="auto"/>
        <w:jc w:val="both"/>
        <w:rPr>
          <w:rFonts w:ascii="Work Sans" w:hAnsi="Work Sans"/>
          <w:sz w:val="18"/>
          <w:szCs w:val="18"/>
        </w:rPr>
      </w:pPr>
    </w:p>
    <w:p w14:paraId="3496B105" w14:textId="653EC111" w:rsidR="00DC58E5" w:rsidRDefault="00B50E8C" w:rsidP="00DC58E5">
      <w:pPr>
        <w:spacing w:line="360" w:lineRule="auto"/>
        <w:jc w:val="both"/>
        <w:rPr>
          <w:rFonts w:ascii="Work Sans" w:eastAsia="Calibri" w:hAnsi="Work Sans" w:cs="Arial"/>
          <w:color w:val="000000"/>
          <w:sz w:val="18"/>
          <w:szCs w:val="18"/>
          <w:lang w:eastAsia="ca-ES"/>
        </w:rPr>
      </w:pPr>
      <w:r w:rsidRPr="00B50E8C">
        <w:rPr>
          <w:rFonts w:ascii="Work Sans" w:eastAsia="Calibri" w:hAnsi="Work Sans" w:cs="Arial"/>
          <w:color w:val="000000"/>
          <w:sz w:val="18"/>
          <w:szCs w:val="18"/>
          <w:lang w:eastAsia="ca-ES"/>
        </w:rPr>
        <w:t>Per tots aquests motius, el Grup Comarcal del Maresme d’Esquerra Republicana i de Junts per Catalunya proposen al Ple l’adopció dels següents:</w:t>
      </w:r>
    </w:p>
    <w:p w14:paraId="414D606F" w14:textId="77777777" w:rsidR="00B50E8C" w:rsidRDefault="00B50E8C" w:rsidP="00DC58E5">
      <w:pPr>
        <w:spacing w:line="360" w:lineRule="auto"/>
        <w:jc w:val="both"/>
        <w:rPr>
          <w:rFonts w:ascii="Work Sans" w:hAnsi="Work Sans"/>
          <w:sz w:val="18"/>
          <w:szCs w:val="18"/>
        </w:rPr>
      </w:pPr>
    </w:p>
    <w:p w14:paraId="385EF4CF" w14:textId="77777777" w:rsidR="00DC58E5" w:rsidRPr="001D30C6" w:rsidRDefault="00DC58E5" w:rsidP="00DC58E5">
      <w:pPr>
        <w:pStyle w:val="Default"/>
        <w:jc w:val="center"/>
        <w:rPr>
          <w:rFonts w:ascii="Work Sans" w:hAnsi="Work Sans"/>
          <w:sz w:val="18"/>
          <w:szCs w:val="18"/>
        </w:rPr>
      </w:pPr>
      <w:r w:rsidRPr="001D30C6">
        <w:rPr>
          <w:rFonts w:ascii="Work Sans" w:hAnsi="Work Sans"/>
          <w:b/>
          <w:bCs/>
          <w:sz w:val="18"/>
          <w:szCs w:val="18"/>
        </w:rPr>
        <w:t xml:space="preserve">A C O R D S </w:t>
      </w:r>
      <w:r w:rsidRPr="001D30C6">
        <w:rPr>
          <w:rFonts w:ascii="Work Sans" w:hAnsi="Work Sans"/>
          <w:b/>
          <w:bCs/>
          <w:sz w:val="18"/>
          <w:szCs w:val="18"/>
        </w:rPr>
        <w:br/>
      </w:r>
    </w:p>
    <w:p w14:paraId="2DE27B66"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Primer. </w:t>
      </w:r>
      <w:r w:rsidRPr="001D30C6">
        <w:rPr>
          <w:rFonts w:ascii="Work Sans" w:hAnsi="Work Sans"/>
          <w:sz w:val="18"/>
          <w:szCs w:val="18"/>
        </w:rPr>
        <w:t xml:space="preserve">Instar la Generalitat de Catalunya a redactar i aprovar un </w:t>
      </w:r>
      <w:r w:rsidRPr="001D30C6">
        <w:rPr>
          <w:rFonts w:ascii="Work Sans" w:hAnsi="Work Sans"/>
          <w:b/>
          <w:bCs/>
          <w:sz w:val="18"/>
          <w:szCs w:val="18"/>
        </w:rPr>
        <w:t>Pla Director Urbanístic de les urbanitzacions amb dèficits de Catalunya</w:t>
      </w:r>
      <w:r w:rsidRPr="001D30C6">
        <w:rPr>
          <w:rFonts w:ascii="Work Sans" w:hAnsi="Work Sans"/>
          <w:sz w:val="18"/>
          <w:szCs w:val="18"/>
        </w:rPr>
        <w:t xml:space="preserve">, que inclogui: </w:t>
      </w:r>
      <w:r w:rsidRPr="001D30C6">
        <w:rPr>
          <w:rFonts w:ascii="Work Sans" w:hAnsi="Work Sans"/>
          <w:sz w:val="18"/>
          <w:szCs w:val="18"/>
        </w:rPr>
        <w:br/>
      </w:r>
    </w:p>
    <w:p w14:paraId="64A4CC7F" w14:textId="77777777" w:rsidR="00DC58E5" w:rsidRPr="001D30C6" w:rsidRDefault="00DC58E5" w:rsidP="00DC58E5">
      <w:pPr>
        <w:pStyle w:val="Default"/>
        <w:numPr>
          <w:ilvl w:val="0"/>
          <w:numId w:val="1"/>
        </w:numPr>
        <w:spacing w:after="197" w:line="360" w:lineRule="auto"/>
        <w:rPr>
          <w:rFonts w:ascii="Work Sans" w:hAnsi="Work Sans"/>
          <w:sz w:val="18"/>
          <w:szCs w:val="18"/>
        </w:rPr>
      </w:pPr>
      <w:r w:rsidRPr="001D30C6">
        <w:rPr>
          <w:rFonts w:ascii="Work Sans" w:hAnsi="Work Sans"/>
          <w:sz w:val="18"/>
          <w:szCs w:val="18"/>
        </w:rPr>
        <w:t xml:space="preserve">Un inventari actualitzat i complet de la situació jurídica, urbanística i de serveis. </w:t>
      </w:r>
    </w:p>
    <w:p w14:paraId="2146192D" w14:textId="77777777" w:rsidR="00DC58E5" w:rsidRPr="001D30C6" w:rsidRDefault="00DC58E5" w:rsidP="00DC58E5">
      <w:pPr>
        <w:pStyle w:val="Default"/>
        <w:numPr>
          <w:ilvl w:val="0"/>
          <w:numId w:val="1"/>
        </w:numPr>
        <w:spacing w:after="197" w:line="360" w:lineRule="auto"/>
        <w:rPr>
          <w:rFonts w:ascii="Work Sans" w:hAnsi="Work Sans"/>
          <w:sz w:val="18"/>
          <w:szCs w:val="18"/>
        </w:rPr>
      </w:pPr>
      <w:r w:rsidRPr="001D30C6">
        <w:rPr>
          <w:rFonts w:ascii="Work Sans" w:hAnsi="Work Sans"/>
          <w:sz w:val="18"/>
          <w:szCs w:val="18"/>
        </w:rPr>
        <w:t xml:space="preserve">La classificació i priorització d’actuacions segons risc i impacte social. </w:t>
      </w:r>
    </w:p>
    <w:p w14:paraId="1940A28D" w14:textId="77777777" w:rsidR="00DC58E5" w:rsidRPr="001D30C6" w:rsidRDefault="00DC58E5" w:rsidP="00DC58E5">
      <w:pPr>
        <w:pStyle w:val="Default"/>
        <w:numPr>
          <w:ilvl w:val="0"/>
          <w:numId w:val="1"/>
        </w:numPr>
        <w:spacing w:after="197" w:line="360" w:lineRule="auto"/>
        <w:rPr>
          <w:rFonts w:ascii="Work Sans" w:hAnsi="Work Sans"/>
          <w:sz w:val="18"/>
          <w:szCs w:val="18"/>
        </w:rPr>
      </w:pPr>
      <w:r w:rsidRPr="001D30C6">
        <w:rPr>
          <w:rFonts w:ascii="Work Sans" w:hAnsi="Work Sans"/>
          <w:sz w:val="18"/>
          <w:szCs w:val="18"/>
        </w:rPr>
        <w:t xml:space="preserve">La possibilitat de recepcions parcials per serveis. </w:t>
      </w:r>
    </w:p>
    <w:p w14:paraId="5FA8AE79" w14:textId="77777777" w:rsidR="00DC58E5" w:rsidRPr="001D30C6" w:rsidRDefault="00DC58E5" w:rsidP="00DC58E5">
      <w:pPr>
        <w:pStyle w:val="Default"/>
        <w:numPr>
          <w:ilvl w:val="0"/>
          <w:numId w:val="1"/>
        </w:numPr>
        <w:spacing w:after="197" w:line="360" w:lineRule="auto"/>
        <w:rPr>
          <w:rFonts w:ascii="Work Sans" w:hAnsi="Work Sans"/>
          <w:sz w:val="18"/>
          <w:szCs w:val="18"/>
        </w:rPr>
      </w:pPr>
      <w:r w:rsidRPr="001D30C6">
        <w:rPr>
          <w:rFonts w:ascii="Work Sans" w:hAnsi="Work Sans"/>
          <w:sz w:val="18"/>
          <w:szCs w:val="18"/>
        </w:rPr>
        <w:t xml:space="preserve">Estàndards mínims adaptats a la realitat territorial. </w:t>
      </w:r>
    </w:p>
    <w:p w14:paraId="653A3B16" w14:textId="77777777" w:rsidR="00DC58E5" w:rsidRPr="001D30C6" w:rsidRDefault="00DC58E5" w:rsidP="00DC58E5">
      <w:pPr>
        <w:pStyle w:val="Default"/>
        <w:numPr>
          <w:ilvl w:val="0"/>
          <w:numId w:val="1"/>
        </w:numPr>
        <w:spacing w:after="197" w:line="360" w:lineRule="auto"/>
        <w:rPr>
          <w:rFonts w:ascii="Work Sans" w:hAnsi="Work Sans"/>
          <w:sz w:val="18"/>
          <w:szCs w:val="18"/>
        </w:rPr>
      </w:pPr>
      <w:r w:rsidRPr="001D30C6">
        <w:rPr>
          <w:rFonts w:ascii="Work Sans" w:hAnsi="Work Sans"/>
          <w:sz w:val="18"/>
          <w:szCs w:val="18"/>
        </w:rPr>
        <w:lastRenderedPageBreak/>
        <w:t xml:space="preserve">Mecanismes de coordinació supramunicipal. </w:t>
      </w:r>
    </w:p>
    <w:p w14:paraId="05F9A0C0" w14:textId="77777777" w:rsidR="00DC58E5" w:rsidRPr="001D30C6" w:rsidRDefault="00DC58E5" w:rsidP="00DC58E5">
      <w:pPr>
        <w:pStyle w:val="Default"/>
        <w:numPr>
          <w:ilvl w:val="0"/>
          <w:numId w:val="1"/>
        </w:numPr>
        <w:spacing w:line="360" w:lineRule="auto"/>
        <w:rPr>
          <w:rFonts w:ascii="Work Sans" w:hAnsi="Work Sans"/>
          <w:sz w:val="18"/>
          <w:szCs w:val="18"/>
        </w:rPr>
      </w:pPr>
      <w:r w:rsidRPr="001D30C6">
        <w:rPr>
          <w:rFonts w:ascii="Work Sans" w:hAnsi="Work Sans"/>
          <w:sz w:val="18"/>
          <w:szCs w:val="18"/>
        </w:rPr>
        <w:t xml:space="preserve">La base per a línies específiques de finançament. </w:t>
      </w:r>
    </w:p>
    <w:p w14:paraId="54988C7D" w14:textId="77777777" w:rsidR="00DC58E5" w:rsidRPr="001D30C6" w:rsidRDefault="00DC58E5" w:rsidP="00DC58E5">
      <w:pPr>
        <w:pStyle w:val="Default"/>
        <w:spacing w:line="360" w:lineRule="auto"/>
        <w:rPr>
          <w:rFonts w:ascii="Work Sans" w:hAnsi="Work Sans"/>
          <w:sz w:val="18"/>
          <w:szCs w:val="18"/>
        </w:rPr>
      </w:pPr>
    </w:p>
    <w:p w14:paraId="7B526DB9"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Segon. </w:t>
      </w:r>
      <w:r w:rsidRPr="001D30C6">
        <w:rPr>
          <w:rFonts w:ascii="Work Sans" w:hAnsi="Work Sans"/>
          <w:sz w:val="18"/>
          <w:szCs w:val="18"/>
        </w:rPr>
        <w:t xml:space="preserve">Instar el Parlament de Catalunya a impulsar una </w:t>
      </w:r>
      <w:r w:rsidRPr="001D30C6">
        <w:rPr>
          <w:rFonts w:ascii="Work Sans" w:hAnsi="Work Sans"/>
          <w:b/>
          <w:bCs/>
          <w:sz w:val="18"/>
          <w:szCs w:val="18"/>
        </w:rPr>
        <w:t xml:space="preserve">modificació de la Llei d’Urbanisme de Catalunya </w:t>
      </w:r>
      <w:r w:rsidRPr="001D30C6">
        <w:rPr>
          <w:rFonts w:ascii="Work Sans" w:hAnsi="Work Sans"/>
          <w:sz w:val="18"/>
          <w:szCs w:val="18"/>
        </w:rPr>
        <w:t xml:space="preserve">que: </w:t>
      </w:r>
      <w:r w:rsidRPr="001D30C6">
        <w:rPr>
          <w:rFonts w:ascii="Work Sans" w:hAnsi="Work Sans"/>
          <w:sz w:val="18"/>
          <w:szCs w:val="18"/>
        </w:rPr>
        <w:br/>
      </w:r>
    </w:p>
    <w:p w14:paraId="24485C01" w14:textId="77777777" w:rsidR="00DC58E5" w:rsidRPr="001D30C6" w:rsidRDefault="00DC58E5" w:rsidP="00DC58E5">
      <w:pPr>
        <w:pStyle w:val="Default"/>
        <w:numPr>
          <w:ilvl w:val="0"/>
          <w:numId w:val="2"/>
        </w:numPr>
        <w:spacing w:after="194" w:line="360" w:lineRule="auto"/>
        <w:rPr>
          <w:rFonts w:ascii="Work Sans" w:hAnsi="Work Sans"/>
          <w:sz w:val="18"/>
          <w:szCs w:val="18"/>
        </w:rPr>
      </w:pPr>
      <w:r w:rsidRPr="001D30C6">
        <w:rPr>
          <w:rFonts w:ascii="Work Sans" w:hAnsi="Work Sans"/>
          <w:sz w:val="18"/>
          <w:szCs w:val="18"/>
        </w:rPr>
        <w:t xml:space="preserve">Incorpori criteris de viabilitat tècnica i proporcionalitat. </w:t>
      </w:r>
    </w:p>
    <w:p w14:paraId="06FE4757" w14:textId="77777777" w:rsidR="00DC58E5" w:rsidRPr="001D30C6" w:rsidRDefault="00DC58E5" w:rsidP="00DC58E5">
      <w:pPr>
        <w:pStyle w:val="Default"/>
        <w:numPr>
          <w:ilvl w:val="0"/>
          <w:numId w:val="2"/>
        </w:numPr>
        <w:spacing w:after="194" w:line="360" w:lineRule="auto"/>
        <w:rPr>
          <w:rFonts w:ascii="Work Sans" w:hAnsi="Work Sans"/>
          <w:sz w:val="18"/>
          <w:szCs w:val="18"/>
        </w:rPr>
      </w:pPr>
      <w:r w:rsidRPr="001D30C6">
        <w:rPr>
          <w:rFonts w:ascii="Work Sans" w:hAnsi="Work Sans"/>
          <w:sz w:val="18"/>
          <w:szCs w:val="18"/>
        </w:rPr>
        <w:t xml:space="preserve">Prevegi ajustaments raonables dels estàndards tècnics en entorns consolidats. </w:t>
      </w:r>
    </w:p>
    <w:p w14:paraId="64039830" w14:textId="77777777" w:rsidR="00DC58E5" w:rsidRPr="001D30C6" w:rsidRDefault="00DC58E5" w:rsidP="00DC58E5">
      <w:pPr>
        <w:pStyle w:val="Default"/>
        <w:numPr>
          <w:ilvl w:val="0"/>
          <w:numId w:val="2"/>
        </w:numPr>
        <w:spacing w:line="360" w:lineRule="auto"/>
        <w:rPr>
          <w:rFonts w:ascii="Work Sans" w:hAnsi="Work Sans"/>
          <w:sz w:val="18"/>
          <w:szCs w:val="18"/>
        </w:rPr>
      </w:pPr>
      <w:r w:rsidRPr="001D30C6">
        <w:rPr>
          <w:rFonts w:ascii="Work Sans" w:hAnsi="Work Sans"/>
          <w:sz w:val="18"/>
          <w:szCs w:val="18"/>
        </w:rPr>
        <w:t xml:space="preserve">Tingui en compte les especificitats dels municipis petits, dispersos o amb recursos limitats. </w:t>
      </w:r>
    </w:p>
    <w:p w14:paraId="78F2637E" w14:textId="77777777" w:rsidR="00DC58E5" w:rsidRPr="001D30C6" w:rsidRDefault="00DC58E5" w:rsidP="00DC58E5">
      <w:pPr>
        <w:pStyle w:val="Default"/>
        <w:spacing w:line="360" w:lineRule="auto"/>
        <w:rPr>
          <w:rFonts w:ascii="Work Sans" w:hAnsi="Work Sans"/>
          <w:sz w:val="18"/>
          <w:szCs w:val="18"/>
        </w:rPr>
      </w:pPr>
    </w:p>
    <w:p w14:paraId="05DFD4DC"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Tercer. </w:t>
      </w:r>
      <w:r w:rsidRPr="001D30C6">
        <w:rPr>
          <w:rFonts w:ascii="Work Sans" w:hAnsi="Work Sans"/>
          <w:sz w:val="18"/>
          <w:szCs w:val="18"/>
        </w:rPr>
        <w:t xml:space="preserve">Instar la Generalitat de Catalunya a crear un </w:t>
      </w:r>
      <w:r w:rsidRPr="001D30C6">
        <w:rPr>
          <w:rFonts w:ascii="Work Sans" w:hAnsi="Work Sans"/>
          <w:b/>
          <w:bCs/>
          <w:sz w:val="18"/>
          <w:szCs w:val="18"/>
        </w:rPr>
        <w:t>Fons per a la regularització d’urbanitzacions</w:t>
      </w:r>
      <w:r w:rsidRPr="001D30C6">
        <w:rPr>
          <w:rFonts w:ascii="Work Sans" w:hAnsi="Work Sans"/>
          <w:sz w:val="18"/>
          <w:szCs w:val="18"/>
        </w:rPr>
        <w:t xml:space="preserve">, amb participació d’altres administracions supramunicipals, destinat a: </w:t>
      </w:r>
    </w:p>
    <w:p w14:paraId="76F5A79A" w14:textId="77777777" w:rsidR="00DC58E5" w:rsidRPr="001D30C6" w:rsidRDefault="00DC58E5" w:rsidP="00DC58E5">
      <w:pPr>
        <w:pStyle w:val="Default"/>
        <w:numPr>
          <w:ilvl w:val="0"/>
          <w:numId w:val="3"/>
        </w:numPr>
        <w:spacing w:after="194" w:line="360" w:lineRule="auto"/>
        <w:rPr>
          <w:rFonts w:ascii="Work Sans" w:hAnsi="Work Sans"/>
          <w:sz w:val="18"/>
          <w:szCs w:val="18"/>
        </w:rPr>
      </w:pPr>
      <w:r w:rsidRPr="001D30C6">
        <w:rPr>
          <w:rFonts w:ascii="Work Sans" w:hAnsi="Work Sans"/>
          <w:sz w:val="18"/>
          <w:szCs w:val="18"/>
        </w:rPr>
        <w:t xml:space="preserve">Finançar la redacció de projectes. </w:t>
      </w:r>
    </w:p>
    <w:p w14:paraId="492BBB2D" w14:textId="77777777" w:rsidR="00DC58E5" w:rsidRPr="001D30C6" w:rsidRDefault="00DC58E5" w:rsidP="00DC58E5">
      <w:pPr>
        <w:pStyle w:val="Default"/>
        <w:numPr>
          <w:ilvl w:val="0"/>
          <w:numId w:val="3"/>
        </w:numPr>
        <w:spacing w:after="194" w:line="360" w:lineRule="auto"/>
        <w:rPr>
          <w:rFonts w:ascii="Work Sans" w:hAnsi="Work Sans"/>
          <w:sz w:val="18"/>
          <w:szCs w:val="18"/>
        </w:rPr>
      </w:pPr>
      <w:r w:rsidRPr="001D30C6">
        <w:rPr>
          <w:rFonts w:ascii="Work Sans" w:hAnsi="Work Sans"/>
          <w:sz w:val="18"/>
          <w:szCs w:val="18"/>
        </w:rPr>
        <w:t xml:space="preserve">Donar suport a l’execució de programes d’adequació. </w:t>
      </w:r>
    </w:p>
    <w:p w14:paraId="2DB88D7B" w14:textId="77777777" w:rsidR="00DC58E5" w:rsidRPr="001D30C6" w:rsidRDefault="00DC58E5" w:rsidP="00DC58E5">
      <w:pPr>
        <w:pStyle w:val="Default"/>
        <w:numPr>
          <w:ilvl w:val="0"/>
          <w:numId w:val="3"/>
        </w:numPr>
        <w:spacing w:line="360" w:lineRule="auto"/>
        <w:rPr>
          <w:rFonts w:ascii="Work Sans" w:hAnsi="Work Sans"/>
          <w:sz w:val="18"/>
          <w:szCs w:val="18"/>
        </w:rPr>
      </w:pPr>
      <w:r w:rsidRPr="001D30C6">
        <w:rPr>
          <w:rFonts w:ascii="Work Sans" w:hAnsi="Work Sans"/>
          <w:sz w:val="18"/>
          <w:szCs w:val="18"/>
        </w:rPr>
        <w:t xml:space="preserve">Prioritzar municipis amb menor capacitat econòmica. </w:t>
      </w:r>
    </w:p>
    <w:p w14:paraId="1C188340" w14:textId="77777777" w:rsidR="00DC58E5" w:rsidRDefault="00DC58E5" w:rsidP="00DC58E5">
      <w:pPr>
        <w:pStyle w:val="Default"/>
        <w:spacing w:line="360" w:lineRule="auto"/>
        <w:rPr>
          <w:rFonts w:ascii="Work Sans" w:hAnsi="Work Sans"/>
          <w:b/>
          <w:bCs/>
          <w:sz w:val="18"/>
          <w:szCs w:val="18"/>
        </w:rPr>
      </w:pPr>
    </w:p>
    <w:p w14:paraId="736FE060"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Quart. </w:t>
      </w:r>
      <w:r w:rsidRPr="001D30C6">
        <w:rPr>
          <w:rFonts w:ascii="Work Sans" w:hAnsi="Work Sans"/>
          <w:sz w:val="18"/>
          <w:szCs w:val="18"/>
        </w:rPr>
        <w:t xml:space="preserve">Instar l’Institut Català de Finances a habilitar línies específiques de crèdit i finançament en condicions preferents per a comunitats de propietaris i parcel·listes afectats. </w:t>
      </w:r>
      <w:r w:rsidRPr="001D30C6">
        <w:rPr>
          <w:rFonts w:ascii="Work Sans" w:hAnsi="Work Sans"/>
          <w:sz w:val="18"/>
          <w:szCs w:val="18"/>
        </w:rPr>
        <w:br/>
      </w:r>
      <w:r w:rsidRPr="001D30C6">
        <w:rPr>
          <w:rFonts w:ascii="Work Sans" w:hAnsi="Work Sans"/>
          <w:b/>
          <w:bCs/>
          <w:sz w:val="18"/>
          <w:szCs w:val="18"/>
        </w:rPr>
        <w:br/>
        <w:t xml:space="preserve">Cinquè. </w:t>
      </w:r>
      <w:r w:rsidRPr="001D30C6">
        <w:rPr>
          <w:rFonts w:ascii="Work Sans" w:hAnsi="Work Sans"/>
          <w:sz w:val="18"/>
          <w:szCs w:val="18"/>
        </w:rPr>
        <w:t xml:space="preserve">Instar els departaments competents de la Generalitat de Catalunya i, especialment, l’Agència Catalana de l'Aigua, a facilitar l’aplicació de </w:t>
      </w:r>
      <w:r w:rsidRPr="001D30C6">
        <w:rPr>
          <w:rFonts w:ascii="Work Sans" w:hAnsi="Work Sans"/>
          <w:b/>
          <w:bCs/>
          <w:sz w:val="18"/>
          <w:szCs w:val="18"/>
        </w:rPr>
        <w:t xml:space="preserve">solucions tècniques alternatives i sostenibles </w:t>
      </w:r>
      <w:r w:rsidRPr="001D30C6">
        <w:rPr>
          <w:rFonts w:ascii="Work Sans" w:hAnsi="Work Sans"/>
          <w:sz w:val="18"/>
          <w:szCs w:val="18"/>
        </w:rPr>
        <w:t xml:space="preserve">en matèria de sanejament i serveis bàsics, clarificant procediments i garantint-ne el reconeixement legal efectiu. </w:t>
      </w:r>
      <w:r w:rsidRPr="001D30C6">
        <w:rPr>
          <w:rFonts w:ascii="Work Sans" w:hAnsi="Work Sans"/>
          <w:sz w:val="18"/>
          <w:szCs w:val="18"/>
        </w:rPr>
        <w:br/>
      </w:r>
    </w:p>
    <w:p w14:paraId="25FFB092"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Sisè. </w:t>
      </w:r>
      <w:r w:rsidRPr="001D30C6">
        <w:rPr>
          <w:rFonts w:ascii="Work Sans" w:hAnsi="Work Sans"/>
          <w:sz w:val="18"/>
          <w:szCs w:val="18"/>
        </w:rPr>
        <w:t xml:space="preserve">Impulsar la </w:t>
      </w:r>
      <w:r w:rsidRPr="001D30C6">
        <w:rPr>
          <w:rFonts w:ascii="Work Sans" w:hAnsi="Work Sans"/>
          <w:b/>
          <w:bCs/>
          <w:sz w:val="18"/>
          <w:szCs w:val="18"/>
        </w:rPr>
        <w:t xml:space="preserve">simplificació administrativa </w:t>
      </w:r>
      <w:r w:rsidRPr="001D30C6">
        <w:rPr>
          <w:rFonts w:ascii="Work Sans" w:hAnsi="Work Sans"/>
          <w:sz w:val="18"/>
          <w:szCs w:val="18"/>
        </w:rPr>
        <w:t xml:space="preserve">dels processos de regularització urbanística, amb: </w:t>
      </w:r>
    </w:p>
    <w:p w14:paraId="5D25A7E1" w14:textId="77777777" w:rsidR="00DC58E5" w:rsidRPr="001D30C6" w:rsidRDefault="00DC58E5" w:rsidP="00DC58E5">
      <w:pPr>
        <w:pStyle w:val="Default"/>
        <w:numPr>
          <w:ilvl w:val="0"/>
          <w:numId w:val="4"/>
        </w:numPr>
        <w:spacing w:after="194" w:line="360" w:lineRule="auto"/>
        <w:rPr>
          <w:rFonts w:ascii="Work Sans" w:hAnsi="Work Sans"/>
          <w:sz w:val="18"/>
          <w:szCs w:val="18"/>
        </w:rPr>
      </w:pPr>
      <w:r w:rsidRPr="001D30C6">
        <w:rPr>
          <w:rFonts w:ascii="Work Sans" w:hAnsi="Work Sans"/>
          <w:sz w:val="18"/>
          <w:szCs w:val="18"/>
        </w:rPr>
        <w:t xml:space="preserve">Terminologia i procediments unificats. </w:t>
      </w:r>
    </w:p>
    <w:p w14:paraId="08A65096" w14:textId="77777777" w:rsidR="00DC58E5" w:rsidRPr="001D30C6" w:rsidRDefault="00DC58E5" w:rsidP="00DC58E5">
      <w:pPr>
        <w:pStyle w:val="Default"/>
        <w:numPr>
          <w:ilvl w:val="0"/>
          <w:numId w:val="4"/>
        </w:numPr>
        <w:spacing w:after="194" w:line="360" w:lineRule="auto"/>
        <w:rPr>
          <w:rFonts w:ascii="Work Sans" w:hAnsi="Work Sans"/>
          <w:sz w:val="18"/>
          <w:szCs w:val="18"/>
        </w:rPr>
      </w:pPr>
      <w:r w:rsidRPr="001D30C6">
        <w:rPr>
          <w:rFonts w:ascii="Work Sans" w:hAnsi="Work Sans"/>
          <w:sz w:val="18"/>
          <w:szCs w:val="18"/>
        </w:rPr>
        <w:t xml:space="preserve">Terminis clars. </w:t>
      </w:r>
    </w:p>
    <w:p w14:paraId="6F6E48E8" w14:textId="77777777" w:rsidR="00DC58E5" w:rsidRPr="001D30C6" w:rsidRDefault="00DC58E5" w:rsidP="00DC58E5">
      <w:pPr>
        <w:pStyle w:val="Default"/>
        <w:numPr>
          <w:ilvl w:val="0"/>
          <w:numId w:val="4"/>
        </w:numPr>
        <w:spacing w:line="360" w:lineRule="auto"/>
        <w:rPr>
          <w:rFonts w:ascii="Work Sans" w:hAnsi="Work Sans"/>
          <w:sz w:val="18"/>
          <w:szCs w:val="18"/>
        </w:rPr>
      </w:pPr>
      <w:r w:rsidRPr="001D30C6">
        <w:rPr>
          <w:rFonts w:ascii="Work Sans" w:hAnsi="Work Sans"/>
          <w:sz w:val="18"/>
          <w:szCs w:val="18"/>
        </w:rPr>
        <w:t xml:space="preserve">Suport tècnic i jurídic específic als ens locals. </w:t>
      </w:r>
    </w:p>
    <w:p w14:paraId="74EFD1E2" w14:textId="77777777" w:rsidR="00DC58E5" w:rsidRPr="001D30C6" w:rsidRDefault="00DC58E5" w:rsidP="00DC58E5">
      <w:pPr>
        <w:pStyle w:val="Default"/>
        <w:spacing w:line="360" w:lineRule="auto"/>
        <w:rPr>
          <w:rFonts w:ascii="Work Sans" w:hAnsi="Work Sans"/>
          <w:sz w:val="18"/>
          <w:szCs w:val="18"/>
        </w:rPr>
      </w:pPr>
    </w:p>
    <w:p w14:paraId="2F53B0A1"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Setè. </w:t>
      </w:r>
      <w:r w:rsidRPr="001D30C6">
        <w:rPr>
          <w:rFonts w:ascii="Work Sans" w:hAnsi="Work Sans"/>
          <w:sz w:val="18"/>
          <w:szCs w:val="18"/>
        </w:rPr>
        <w:t>Promoure la creació d’</w:t>
      </w:r>
      <w:r w:rsidRPr="001D30C6">
        <w:rPr>
          <w:rFonts w:ascii="Work Sans" w:hAnsi="Work Sans"/>
          <w:b/>
          <w:bCs/>
          <w:sz w:val="18"/>
          <w:szCs w:val="18"/>
        </w:rPr>
        <w:t>unitats supramunicipals de suport tècnic i jurídic</w:t>
      </w:r>
      <w:r w:rsidRPr="001D30C6">
        <w:rPr>
          <w:rFonts w:ascii="Work Sans" w:hAnsi="Work Sans"/>
          <w:sz w:val="18"/>
          <w:szCs w:val="18"/>
        </w:rPr>
        <w:t xml:space="preserve">, mitjançant les diputacions, consells comarcals o altres ens competents, per assistir els municipis amb menys capacitat tècnica. </w:t>
      </w:r>
      <w:r w:rsidRPr="001D30C6">
        <w:rPr>
          <w:rFonts w:ascii="Work Sans" w:hAnsi="Work Sans"/>
          <w:sz w:val="18"/>
          <w:szCs w:val="18"/>
        </w:rPr>
        <w:br/>
      </w:r>
    </w:p>
    <w:p w14:paraId="38ABEF20" w14:textId="77777777" w:rsidR="00DC58E5" w:rsidRPr="001D30C6" w:rsidRDefault="00DC58E5" w:rsidP="00DC58E5">
      <w:pPr>
        <w:pStyle w:val="Default"/>
        <w:spacing w:line="360" w:lineRule="auto"/>
        <w:rPr>
          <w:rFonts w:ascii="Work Sans" w:hAnsi="Work Sans"/>
          <w:sz w:val="18"/>
          <w:szCs w:val="18"/>
        </w:rPr>
      </w:pPr>
      <w:r w:rsidRPr="001D30C6">
        <w:rPr>
          <w:rFonts w:ascii="Work Sans" w:hAnsi="Work Sans"/>
          <w:b/>
          <w:bCs/>
          <w:sz w:val="18"/>
          <w:szCs w:val="18"/>
        </w:rPr>
        <w:t xml:space="preserve">Vuitè. </w:t>
      </w:r>
      <w:r w:rsidRPr="001D30C6">
        <w:rPr>
          <w:rFonts w:ascii="Work Sans" w:hAnsi="Work Sans"/>
          <w:sz w:val="18"/>
          <w:szCs w:val="18"/>
        </w:rPr>
        <w:t xml:space="preserve">Instar la creació d’un </w:t>
      </w:r>
      <w:r w:rsidRPr="001D30C6">
        <w:rPr>
          <w:rFonts w:ascii="Work Sans" w:hAnsi="Work Sans"/>
          <w:b/>
          <w:bCs/>
          <w:sz w:val="18"/>
          <w:szCs w:val="18"/>
        </w:rPr>
        <w:t xml:space="preserve">espai permanent de coordinació institucional </w:t>
      </w:r>
      <w:r w:rsidRPr="001D30C6">
        <w:rPr>
          <w:rFonts w:ascii="Work Sans" w:hAnsi="Work Sans"/>
          <w:sz w:val="18"/>
          <w:szCs w:val="18"/>
        </w:rPr>
        <w:t xml:space="preserve">entre la Generalitat de Catalunya, els ajuntaments, les diputacions, els consells comarcals i les entitats </w:t>
      </w:r>
      <w:r w:rsidRPr="001D30C6">
        <w:rPr>
          <w:rFonts w:ascii="Work Sans" w:hAnsi="Work Sans"/>
          <w:sz w:val="18"/>
          <w:szCs w:val="18"/>
        </w:rPr>
        <w:lastRenderedPageBreak/>
        <w:t xml:space="preserve">municipalistes, amb l’objectiu de: </w:t>
      </w:r>
      <w:r w:rsidRPr="001D30C6">
        <w:rPr>
          <w:rFonts w:ascii="Work Sans" w:hAnsi="Work Sans"/>
          <w:sz w:val="18"/>
          <w:szCs w:val="18"/>
        </w:rPr>
        <w:br/>
      </w:r>
    </w:p>
    <w:p w14:paraId="370161E9" w14:textId="77777777" w:rsidR="00DC58E5" w:rsidRPr="001D30C6" w:rsidRDefault="00DC58E5" w:rsidP="00DC58E5">
      <w:pPr>
        <w:pStyle w:val="Default"/>
        <w:numPr>
          <w:ilvl w:val="0"/>
          <w:numId w:val="5"/>
        </w:numPr>
        <w:spacing w:after="194" w:line="360" w:lineRule="auto"/>
        <w:rPr>
          <w:rFonts w:ascii="Work Sans" w:hAnsi="Work Sans"/>
          <w:sz w:val="18"/>
          <w:szCs w:val="18"/>
        </w:rPr>
      </w:pPr>
      <w:r w:rsidRPr="001D30C6">
        <w:rPr>
          <w:rFonts w:ascii="Work Sans" w:hAnsi="Work Sans"/>
          <w:sz w:val="18"/>
          <w:szCs w:val="18"/>
        </w:rPr>
        <w:t xml:space="preserve">Garantir el dret dels veïns i veïnes a viure en entorns dignes. </w:t>
      </w:r>
    </w:p>
    <w:p w14:paraId="4B1605D4" w14:textId="77777777" w:rsidR="00DC58E5" w:rsidRPr="001D30C6" w:rsidRDefault="00DC58E5" w:rsidP="00DC58E5">
      <w:pPr>
        <w:pStyle w:val="Default"/>
        <w:numPr>
          <w:ilvl w:val="0"/>
          <w:numId w:val="5"/>
        </w:numPr>
        <w:spacing w:after="194" w:line="360" w:lineRule="auto"/>
        <w:rPr>
          <w:rFonts w:ascii="Work Sans" w:hAnsi="Work Sans"/>
          <w:sz w:val="18"/>
          <w:szCs w:val="18"/>
        </w:rPr>
      </w:pPr>
      <w:r w:rsidRPr="001D30C6">
        <w:rPr>
          <w:rFonts w:ascii="Work Sans" w:hAnsi="Work Sans"/>
          <w:sz w:val="18"/>
          <w:szCs w:val="18"/>
        </w:rPr>
        <w:t xml:space="preserve">Facilitar la recepció progressiva de les urbanitzacions. </w:t>
      </w:r>
    </w:p>
    <w:p w14:paraId="26EA7C38" w14:textId="77777777" w:rsidR="00DC58E5" w:rsidRPr="001D30C6" w:rsidRDefault="00DC58E5" w:rsidP="00DC58E5">
      <w:pPr>
        <w:pStyle w:val="Default"/>
        <w:numPr>
          <w:ilvl w:val="0"/>
          <w:numId w:val="5"/>
        </w:numPr>
        <w:spacing w:line="360" w:lineRule="auto"/>
        <w:rPr>
          <w:rFonts w:ascii="Work Sans" w:hAnsi="Work Sans"/>
          <w:sz w:val="18"/>
          <w:szCs w:val="18"/>
        </w:rPr>
      </w:pPr>
      <w:r w:rsidRPr="001D30C6">
        <w:rPr>
          <w:rFonts w:ascii="Work Sans" w:hAnsi="Work Sans"/>
          <w:sz w:val="18"/>
          <w:szCs w:val="18"/>
        </w:rPr>
        <w:t xml:space="preserve">Restablir la cohesió social i territorial. </w:t>
      </w:r>
    </w:p>
    <w:p w14:paraId="0CAC40E5" w14:textId="77777777" w:rsidR="00DC58E5" w:rsidRPr="001D30C6" w:rsidRDefault="00DC58E5" w:rsidP="00DC58E5">
      <w:pPr>
        <w:pStyle w:val="Default"/>
        <w:spacing w:line="360" w:lineRule="auto"/>
        <w:rPr>
          <w:rFonts w:ascii="Work Sans" w:hAnsi="Work Sans"/>
          <w:sz w:val="18"/>
          <w:szCs w:val="18"/>
        </w:rPr>
      </w:pPr>
    </w:p>
    <w:p w14:paraId="47424EC8" w14:textId="77777777" w:rsidR="00DC58E5" w:rsidRPr="001D30C6" w:rsidRDefault="00DC58E5" w:rsidP="00DC58E5">
      <w:pPr>
        <w:spacing w:line="360" w:lineRule="auto"/>
        <w:rPr>
          <w:rFonts w:ascii="Work Sans" w:hAnsi="Work Sans" w:cs="Arial"/>
          <w:sz w:val="18"/>
          <w:szCs w:val="18"/>
        </w:rPr>
      </w:pPr>
      <w:r w:rsidRPr="001D30C6">
        <w:rPr>
          <w:rFonts w:ascii="Work Sans" w:hAnsi="Work Sans" w:cs="Arial"/>
          <w:b/>
          <w:bCs/>
          <w:sz w:val="18"/>
          <w:szCs w:val="18"/>
        </w:rPr>
        <w:t xml:space="preserve">Novè. </w:t>
      </w:r>
      <w:r w:rsidRPr="001D30C6">
        <w:rPr>
          <w:rFonts w:ascii="Work Sans" w:hAnsi="Work Sans" w:cs="Arial"/>
          <w:sz w:val="18"/>
          <w:szCs w:val="18"/>
        </w:rPr>
        <w:t>Traslladar aquests acords a la Generalitat de Catalunya, al Parlament de Catalunya, a les diputacions provincials, als consells comarcals i a les entitats municipalistes de Catalunya per al seu coneixement i adhesió</w:t>
      </w:r>
    </w:p>
    <w:p w14:paraId="55D53455" w14:textId="77777777" w:rsidR="00DC58E5" w:rsidRPr="003D4E0E" w:rsidRDefault="00DC58E5" w:rsidP="00DC58E5">
      <w:pPr>
        <w:pStyle w:val="Default"/>
        <w:rPr>
          <w:sz w:val="22"/>
          <w:szCs w:val="22"/>
          <w:lang w:val="ca"/>
        </w:rPr>
      </w:pPr>
    </w:p>
    <w:p w14:paraId="21080CD6" w14:textId="77777777" w:rsidR="00391845" w:rsidRPr="00DC58E5" w:rsidRDefault="00391845">
      <w:pPr>
        <w:rPr>
          <w:lang w:val="ca"/>
        </w:rPr>
      </w:pPr>
    </w:p>
    <w:sectPr w:rsidR="00391845" w:rsidRPr="00DC58E5" w:rsidSect="00DC58E5">
      <w:headerReference w:type="default" r:id="rId7"/>
      <w:pgSz w:w="11906" w:h="16838"/>
      <w:pgMar w:top="23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EC39" w14:textId="77777777" w:rsidR="00C07F6F" w:rsidRDefault="00C07F6F" w:rsidP="00DC58E5">
      <w:r>
        <w:separator/>
      </w:r>
    </w:p>
  </w:endnote>
  <w:endnote w:type="continuationSeparator" w:id="0">
    <w:p w14:paraId="08C71567" w14:textId="77777777" w:rsidR="00C07F6F" w:rsidRDefault="00C07F6F" w:rsidP="00DC5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3361" w14:textId="77777777" w:rsidR="00C07F6F" w:rsidRDefault="00C07F6F" w:rsidP="00DC58E5">
      <w:r>
        <w:separator/>
      </w:r>
    </w:p>
  </w:footnote>
  <w:footnote w:type="continuationSeparator" w:id="0">
    <w:p w14:paraId="55BC25B4" w14:textId="77777777" w:rsidR="00C07F6F" w:rsidRDefault="00C07F6F" w:rsidP="00DC5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1BDD" w14:textId="7094C51F" w:rsidR="00DC58E5" w:rsidRDefault="00DC58E5">
    <w:pPr>
      <w:pStyle w:val="Encabezado"/>
    </w:pPr>
    <w:r>
      <w:rPr>
        <w:noProof/>
        <w:color w:val="000000"/>
      </w:rPr>
      <w:drawing>
        <wp:anchor distT="0" distB="0" distL="114300" distR="114300" simplePos="0" relativeHeight="251656704" behindDoc="0" locked="0" layoutInCell="1" allowOverlap="1" wp14:anchorId="428E8924" wp14:editId="37627911">
          <wp:simplePos x="0" y="0"/>
          <wp:positionH relativeFrom="column">
            <wp:posOffset>1939290</wp:posOffset>
          </wp:positionH>
          <wp:positionV relativeFrom="paragraph">
            <wp:posOffset>-97155</wp:posOffset>
          </wp:positionV>
          <wp:extent cx="857250" cy="857250"/>
          <wp:effectExtent l="0" t="0" r="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anchor>
      </w:drawing>
    </w:r>
    <w:r>
      <w:rPr>
        <w:noProof/>
      </w:rPr>
      <w:drawing>
        <wp:anchor distT="0" distB="0" distL="114300" distR="114300" simplePos="0" relativeHeight="251663872" behindDoc="0" locked="0" layoutInCell="1" allowOverlap="1" wp14:anchorId="685BA3D9" wp14:editId="049E7123">
          <wp:simplePos x="0" y="0"/>
          <wp:positionH relativeFrom="column">
            <wp:posOffset>53340</wp:posOffset>
          </wp:positionH>
          <wp:positionV relativeFrom="paragraph">
            <wp:posOffset>-230505</wp:posOffset>
          </wp:positionV>
          <wp:extent cx="1257935" cy="1053465"/>
          <wp:effectExtent l="0" t="0" r="0" b="0"/>
          <wp:wrapSquare wrapText="bothSides"/>
          <wp:docPr id="19736467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257935" cy="10534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A44"/>
    <w:multiLevelType w:val="hybridMultilevel"/>
    <w:tmpl w:val="9FB6B4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8083894"/>
    <w:multiLevelType w:val="hybridMultilevel"/>
    <w:tmpl w:val="6F7073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A455308"/>
    <w:multiLevelType w:val="hybridMultilevel"/>
    <w:tmpl w:val="3DDEBC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272D5B"/>
    <w:multiLevelType w:val="hybridMultilevel"/>
    <w:tmpl w:val="960A78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4809FA"/>
    <w:multiLevelType w:val="hybridMultilevel"/>
    <w:tmpl w:val="F33002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89987225">
    <w:abstractNumId w:val="0"/>
  </w:num>
  <w:num w:numId="2" w16cid:durableId="1502626927">
    <w:abstractNumId w:val="1"/>
  </w:num>
  <w:num w:numId="3" w16cid:durableId="289437339">
    <w:abstractNumId w:val="3"/>
  </w:num>
  <w:num w:numId="4" w16cid:durableId="1735160605">
    <w:abstractNumId w:val="4"/>
  </w:num>
  <w:num w:numId="5" w16cid:durableId="209416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E5"/>
    <w:rsid w:val="000044D9"/>
    <w:rsid w:val="00044DE7"/>
    <w:rsid w:val="0006298E"/>
    <w:rsid w:val="00075EFB"/>
    <w:rsid w:val="00094DB7"/>
    <w:rsid w:val="000B5BB2"/>
    <w:rsid w:val="000E1ADB"/>
    <w:rsid w:val="001046AD"/>
    <w:rsid w:val="001105A2"/>
    <w:rsid w:val="00147075"/>
    <w:rsid w:val="00153A4F"/>
    <w:rsid w:val="001D427F"/>
    <w:rsid w:val="00210ED2"/>
    <w:rsid w:val="00280FB6"/>
    <w:rsid w:val="002854B4"/>
    <w:rsid w:val="00297E2C"/>
    <w:rsid w:val="00314C0E"/>
    <w:rsid w:val="0033121A"/>
    <w:rsid w:val="003534E2"/>
    <w:rsid w:val="003860CD"/>
    <w:rsid w:val="00391845"/>
    <w:rsid w:val="003932C0"/>
    <w:rsid w:val="003A1E91"/>
    <w:rsid w:val="003E0584"/>
    <w:rsid w:val="003F2ACD"/>
    <w:rsid w:val="00415779"/>
    <w:rsid w:val="0047310C"/>
    <w:rsid w:val="00490605"/>
    <w:rsid w:val="00496024"/>
    <w:rsid w:val="004A6431"/>
    <w:rsid w:val="004D79CC"/>
    <w:rsid w:val="0053021F"/>
    <w:rsid w:val="00573E6D"/>
    <w:rsid w:val="005B524D"/>
    <w:rsid w:val="005D371B"/>
    <w:rsid w:val="005E000E"/>
    <w:rsid w:val="005F017F"/>
    <w:rsid w:val="00643C5A"/>
    <w:rsid w:val="0066375B"/>
    <w:rsid w:val="006741C0"/>
    <w:rsid w:val="0068174F"/>
    <w:rsid w:val="00694A24"/>
    <w:rsid w:val="006A4AC6"/>
    <w:rsid w:val="006C295A"/>
    <w:rsid w:val="006D4685"/>
    <w:rsid w:val="006F2D99"/>
    <w:rsid w:val="00704796"/>
    <w:rsid w:val="0070637E"/>
    <w:rsid w:val="007135C2"/>
    <w:rsid w:val="007260DE"/>
    <w:rsid w:val="00763F82"/>
    <w:rsid w:val="007B1C0E"/>
    <w:rsid w:val="007B6C41"/>
    <w:rsid w:val="007C11D4"/>
    <w:rsid w:val="007C5A74"/>
    <w:rsid w:val="007D00DF"/>
    <w:rsid w:val="00840C58"/>
    <w:rsid w:val="00847CE9"/>
    <w:rsid w:val="00871095"/>
    <w:rsid w:val="008A7F95"/>
    <w:rsid w:val="008F7578"/>
    <w:rsid w:val="009213F3"/>
    <w:rsid w:val="0092642B"/>
    <w:rsid w:val="009328E7"/>
    <w:rsid w:val="00944095"/>
    <w:rsid w:val="009861B7"/>
    <w:rsid w:val="00987230"/>
    <w:rsid w:val="00987434"/>
    <w:rsid w:val="009E1339"/>
    <w:rsid w:val="009E4D01"/>
    <w:rsid w:val="009E569C"/>
    <w:rsid w:val="009E7FE7"/>
    <w:rsid w:val="00A0016B"/>
    <w:rsid w:val="00A007D3"/>
    <w:rsid w:val="00A02582"/>
    <w:rsid w:val="00A56E65"/>
    <w:rsid w:val="00A66ED1"/>
    <w:rsid w:val="00AF7004"/>
    <w:rsid w:val="00B21374"/>
    <w:rsid w:val="00B50E8C"/>
    <w:rsid w:val="00B516BD"/>
    <w:rsid w:val="00B54C58"/>
    <w:rsid w:val="00B60126"/>
    <w:rsid w:val="00B603A0"/>
    <w:rsid w:val="00B65713"/>
    <w:rsid w:val="00BA1438"/>
    <w:rsid w:val="00BC0F5A"/>
    <w:rsid w:val="00BC4E1E"/>
    <w:rsid w:val="00BD31E6"/>
    <w:rsid w:val="00C0097F"/>
    <w:rsid w:val="00C07F6F"/>
    <w:rsid w:val="00C1116C"/>
    <w:rsid w:val="00C33B2E"/>
    <w:rsid w:val="00C50248"/>
    <w:rsid w:val="00C50D85"/>
    <w:rsid w:val="00CC108B"/>
    <w:rsid w:val="00CC7948"/>
    <w:rsid w:val="00CE4434"/>
    <w:rsid w:val="00CE4BCB"/>
    <w:rsid w:val="00D04673"/>
    <w:rsid w:val="00D40B0F"/>
    <w:rsid w:val="00D65C57"/>
    <w:rsid w:val="00D965AA"/>
    <w:rsid w:val="00DC58E5"/>
    <w:rsid w:val="00E1340B"/>
    <w:rsid w:val="00EA7FAB"/>
    <w:rsid w:val="00EB2815"/>
    <w:rsid w:val="00EB3A27"/>
    <w:rsid w:val="00F120A1"/>
    <w:rsid w:val="00F15F5C"/>
    <w:rsid w:val="00F373ED"/>
    <w:rsid w:val="00F67675"/>
    <w:rsid w:val="00F6772B"/>
    <w:rsid w:val="00F72992"/>
    <w:rsid w:val="00FE2B5A"/>
    <w:rsid w:val="00FF1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3A2D"/>
  <w15:chartTrackingRefBased/>
  <w15:docId w15:val="{BD9E10D8-00AF-4E5A-BD31-92EA1CFA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E5"/>
    <w:pPr>
      <w:spacing w:after="0" w:line="240" w:lineRule="auto"/>
    </w:pPr>
    <w:rPr>
      <w:rFonts w:ascii="Arial" w:eastAsia="Times New Roman" w:hAnsi="Arial" w:cs="Times New Roman"/>
      <w:kern w:val="0"/>
      <w:sz w:val="24"/>
      <w:szCs w:val="24"/>
      <w:lang w:val="ca-ES" w:eastAsia="es-ES"/>
    </w:rPr>
  </w:style>
  <w:style w:type="paragraph" w:styleId="Ttulo1">
    <w:name w:val="heading 1"/>
    <w:basedOn w:val="Normal"/>
    <w:next w:val="Normal"/>
    <w:link w:val="Ttulo1Car"/>
    <w:uiPriority w:val="9"/>
    <w:qFormat/>
    <w:rsid w:val="00DC5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5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58E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58E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58E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58E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58E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58E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58E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8E5"/>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DC58E5"/>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DC58E5"/>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DC58E5"/>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DC58E5"/>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DC58E5"/>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DC58E5"/>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DC58E5"/>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DC58E5"/>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DC58E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58E5"/>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DC58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58E5"/>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DC58E5"/>
    <w:pPr>
      <w:spacing w:before="160"/>
      <w:jc w:val="center"/>
    </w:pPr>
    <w:rPr>
      <w:i/>
      <w:iCs/>
      <w:color w:val="404040" w:themeColor="text1" w:themeTint="BF"/>
    </w:rPr>
  </w:style>
  <w:style w:type="character" w:customStyle="1" w:styleId="CitaCar">
    <w:name w:val="Cita Car"/>
    <w:basedOn w:val="Fuentedeprrafopredeter"/>
    <w:link w:val="Cita"/>
    <w:uiPriority w:val="29"/>
    <w:rsid w:val="00DC58E5"/>
    <w:rPr>
      <w:i/>
      <w:iCs/>
      <w:color w:val="404040" w:themeColor="text1" w:themeTint="BF"/>
      <w:lang w:val="ca-ES"/>
    </w:rPr>
  </w:style>
  <w:style w:type="paragraph" w:styleId="Prrafodelista">
    <w:name w:val="List Paragraph"/>
    <w:basedOn w:val="Normal"/>
    <w:uiPriority w:val="34"/>
    <w:qFormat/>
    <w:rsid w:val="00DC58E5"/>
    <w:pPr>
      <w:ind w:left="720"/>
      <w:contextualSpacing/>
    </w:pPr>
  </w:style>
  <w:style w:type="character" w:styleId="nfasisintenso">
    <w:name w:val="Intense Emphasis"/>
    <w:basedOn w:val="Fuentedeprrafopredeter"/>
    <w:uiPriority w:val="21"/>
    <w:qFormat/>
    <w:rsid w:val="00DC58E5"/>
    <w:rPr>
      <w:i/>
      <w:iCs/>
      <w:color w:val="2F5496" w:themeColor="accent1" w:themeShade="BF"/>
    </w:rPr>
  </w:style>
  <w:style w:type="paragraph" w:styleId="Citadestacada">
    <w:name w:val="Intense Quote"/>
    <w:basedOn w:val="Normal"/>
    <w:next w:val="Normal"/>
    <w:link w:val="CitadestacadaCar"/>
    <w:uiPriority w:val="30"/>
    <w:qFormat/>
    <w:rsid w:val="00DC5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58E5"/>
    <w:rPr>
      <w:i/>
      <w:iCs/>
      <w:color w:val="2F5496" w:themeColor="accent1" w:themeShade="BF"/>
      <w:lang w:val="ca-ES"/>
    </w:rPr>
  </w:style>
  <w:style w:type="character" w:styleId="Referenciaintensa">
    <w:name w:val="Intense Reference"/>
    <w:basedOn w:val="Fuentedeprrafopredeter"/>
    <w:uiPriority w:val="32"/>
    <w:qFormat/>
    <w:rsid w:val="00DC58E5"/>
    <w:rPr>
      <w:b/>
      <w:bCs/>
      <w:smallCaps/>
      <w:color w:val="2F5496" w:themeColor="accent1" w:themeShade="BF"/>
      <w:spacing w:val="5"/>
    </w:rPr>
  </w:style>
  <w:style w:type="paragraph" w:customStyle="1" w:styleId="Default">
    <w:name w:val="Default"/>
    <w:rsid w:val="00DC58E5"/>
    <w:pPr>
      <w:autoSpaceDE w:val="0"/>
      <w:autoSpaceDN w:val="0"/>
      <w:adjustRightInd w:val="0"/>
      <w:spacing w:after="0" w:line="240" w:lineRule="auto"/>
    </w:pPr>
    <w:rPr>
      <w:rFonts w:ascii="Arial" w:eastAsia="Calibri" w:hAnsi="Arial" w:cs="Arial"/>
      <w:color w:val="000000"/>
      <w:kern w:val="0"/>
      <w:sz w:val="24"/>
      <w:szCs w:val="24"/>
      <w:lang w:val="ca-ES" w:eastAsia="ca-ES"/>
    </w:rPr>
  </w:style>
  <w:style w:type="paragraph" w:styleId="Encabezado">
    <w:name w:val="header"/>
    <w:basedOn w:val="Normal"/>
    <w:link w:val="EncabezadoCar"/>
    <w:uiPriority w:val="99"/>
    <w:unhideWhenUsed/>
    <w:rsid w:val="00DC58E5"/>
    <w:pPr>
      <w:tabs>
        <w:tab w:val="center" w:pos="4252"/>
        <w:tab w:val="right" w:pos="8504"/>
      </w:tabs>
    </w:pPr>
  </w:style>
  <w:style w:type="character" w:customStyle="1" w:styleId="EncabezadoCar">
    <w:name w:val="Encabezado Car"/>
    <w:basedOn w:val="Fuentedeprrafopredeter"/>
    <w:link w:val="Encabezado"/>
    <w:uiPriority w:val="99"/>
    <w:rsid w:val="00DC58E5"/>
    <w:rPr>
      <w:rFonts w:ascii="Arial" w:eastAsia="Times New Roman" w:hAnsi="Arial" w:cs="Times New Roman"/>
      <w:kern w:val="0"/>
      <w:sz w:val="24"/>
      <w:szCs w:val="24"/>
      <w:lang w:val="ca-ES" w:eastAsia="es-ES"/>
    </w:rPr>
  </w:style>
  <w:style w:type="paragraph" w:styleId="Piedepgina">
    <w:name w:val="footer"/>
    <w:basedOn w:val="Normal"/>
    <w:link w:val="PiedepginaCar"/>
    <w:uiPriority w:val="99"/>
    <w:unhideWhenUsed/>
    <w:rsid w:val="00DC58E5"/>
    <w:pPr>
      <w:tabs>
        <w:tab w:val="center" w:pos="4252"/>
        <w:tab w:val="right" w:pos="8504"/>
      </w:tabs>
    </w:pPr>
  </w:style>
  <w:style w:type="character" w:customStyle="1" w:styleId="PiedepginaCar">
    <w:name w:val="Pie de página Car"/>
    <w:basedOn w:val="Fuentedeprrafopredeter"/>
    <w:link w:val="Piedepgina"/>
    <w:uiPriority w:val="99"/>
    <w:rsid w:val="00DC58E5"/>
    <w:rPr>
      <w:rFonts w:ascii="Arial" w:eastAsia="Times New Roman" w:hAnsi="Arial" w:cs="Times New Roman"/>
      <w:kern w:val="0"/>
      <w:sz w:val="24"/>
      <w:szCs w:val="24"/>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1515</Words>
  <Characters>8336</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Otero</dc:creator>
  <cp:keywords/>
  <dc:description/>
  <cp:lastModifiedBy>Noelia Otero</cp:lastModifiedBy>
  <cp:revision>2</cp:revision>
  <dcterms:created xsi:type="dcterms:W3CDTF">2026-03-12T11:30:00Z</dcterms:created>
  <dcterms:modified xsi:type="dcterms:W3CDTF">2026-03-12T13:09:00Z</dcterms:modified>
</cp:coreProperties>
</file>